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Default="00627CAE" w:rsidP="00627CAE">
      <w:pPr>
        <w:spacing w:after="0" w:line="360" w:lineRule="auto"/>
        <w:jc w:val="both"/>
        <w:rPr>
          <w:rFonts w:ascii="Palatino Linotype" w:hAnsi="Palatino Linotype" w:cs="Arial"/>
          <w:b/>
          <w:sz w:val="24"/>
          <w:szCs w:val="24"/>
        </w:rPr>
      </w:pPr>
      <w:bookmarkStart w:id="0" w:name="_GoBack"/>
      <w:bookmarkEnd w:id="0"/>
      <w:r w:rsidRPr="0037358E">
        <w:rPr>
          <w:rFonts w:ascii="Palatino Linotype" w:hAnsi="Palatino Linotype" w:cs="Arial"/>
          <w:b/>
          <w:sz w:val="24"/>
          <w:szCs w:val="24"/>
        </w:rPr>
        <w:t xml:space="preserve">VOTO PARTICULAR DEL COMISIONADO JOSÉ GUADALUPE LUNA HERNÁNDEZ EN EL RECURSO DE REVISIÓN </w:t>
      </w:r>
      <w:r w:rsidR="00125FD4">
        <w:rPr>
          <w:rFonts w:ascii="Palatino Linotype" w:hAnsi="Palatino Linotype" w:cs="Arial"/>
          <w:b/>
          <w:sz w:val="24"/>
          <w:szCs w:val="24"/>
        </w:rPr>
        <w:t>01847/INFOEM/IP/RR/2019.</w:t>
      </w:r>
    </w:p>
    <w:p w:rsidR="0009550C" w:rsidRPr="00A2377D" w:rsidRDefault="0009550C" w:rsidP="00627CAE">
      <w:pPr>
        <w:spacing w:after="0" w:line="360" w:lineRule="auto"/>
        <w:jc w:val="both"/>
        <w:rPr>
          <w:rFonts w:ascii="Palatino Linotype" w:hAnsi="Palatino Linotype" w:cs="Arial"/>
          <w:b/>
          <w:sz w:val="8"/>
          <w:szCs w:val="24"/>
        </w:rPr>
      </w:pPr>
    </w:p>
    <w:p w:rsidR="00627CAE" w:rsidRDefault="00627CAE" w:rsidP="00A2377D">
      <w:pPr>
        <w:spacing w:after="0" w:line="360" w:lineRule="auto"/>
        <w:jc w:val="both"/>
        <w:rPr>
          <w:rFonts w:ascii="Palatino Linotype" w:hAnsi="Palatino Linotype" w:cs="Arial"/>
          <w:sz w:val="24"/>
          <w:szCs w:val="24"/>
        </w:rPr>
      </w:pPr>
      <w:r w:rsidRPr="0037358E">
        <w:rPr>
          <w:rFonts w:ascii="Palatino Linotype" w:hAnsi="Palatino Linotype" w:cs="Arial"/>
          <w:sz w:val="24"/>
          <w:szCs w:val="24"/>
        </w:rPr>
        <w:t xml:space="preserve">El diseño constitucional y la fuerza de nuestras resoluciones </w:t>
      </w:r>
      <w:r>
        <w:rPr>
          <w:rFonts w:ascii="Palatino Linotype" w:hAnsi="Palatino Linotype" w:cs="Arial"/>
          <w:sz w:val="24"/>
          <w:szCs w:val="24"/>
        </w:rPr>
        <w:t>permiten</w:t>
      </w:r>
      <w:r w:rsidRPr="0037358E">
        <w:rPr>
          <w:rFonts w:ascii="Palatino Linotype" w:hAnsi="Palatino Linotype" w:cs="Arial"/>
          <w:sz w:val="24"/>
          <w:szCs w:val="24"/>
        </w:rPr>
        <w:t xml:space="preserve"> que el Estado Mexicano cumpla con sus compromisos internacionales estableciendo un procedimiento expedito, sencillo y efectivo para reparar las posibles afectaciones al derecho humano de acceso a la información pública. </w:t>
      </w:r>
      <w:r w:rsidR="00365A30">
        <w:rPr>
          <w:rFonts w:ascii="Palatino Linotype" w:hAnsi="Palatino Linotype" w:cs="Arial"/>
          <w:sz w:val="24"/>
          <w:szCs w:val="24"/>
        </w:rPr>
        <w:t xml:space="preserve"> </w:t>
      </w:r>
    </w:p>
    <w:p w:rsidR="00627CAE" w:rsidRDefault="00627CAE" w:rsidP="00A2377D">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A2377D" w:rsidRPr="00A2377D" w:rsidRDefault="00A2377D" w:rsidP="00A2377D">
      <w:pPr>
        <w:pStyle w:val="Prrafodelista"/>
        <w:spacing w:before="240" w:after="0" w:line="360" w:lineRule="auto"/>
        <w:ind w:left="0"/>
        <w:jc w:val="both"/>
        <w:rPr>
          <w:rFonts w:ascii="Palatino Linotype" w:hAnsi="Palatino Linotype" w:cs="Arial"/>
          <w:color w:val="000000" w:themeColor="text1"/>
          <w:sz w:val="10"/>
          <w:szCs w:val="24"/>
          <w:lang w:val="es-ES"/>
        </w:rPr>
      </w:pPr>
    </w:p>
    <w:p w:rsidR="00627CAE" w:rsidRDefault="00627CAE" w:rsidP="00A2377D">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 interpretación conforme, de la disposición sospechosa de inconstitucionalidad e inconvencionalidad,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w:t>
      </w:r>
    </w:p>
    <w:p w:rsidR="00125FD4" w:rsidRDefault="00125FD4" w:rsidP="00A2377D">
      <w:pPr>
        <w:pStyle w:val="Prrafodelista"/>
        <w:spacing w:before="240" w:after="0" w:line="360" w:lineRule="auto"/>
        <w:ind w:left="0"/>
        <w:jc w:val="both"/>
        <w:rPr>
          <w:rFonts w:ascii="Palatino Linotype" w:hAnsi="Palatino Linotype" w:cs="Arial"/>
          <w:color w:val="000000" w:themeColor="text1"/>
          <w:sz w:val="24"/>
          <w:szCs w:val="24"/>
          <w:lang w:val="es-ES"/>
        </w:rPr>
      </w:pPr>
    </w:p>
    <w:p w:rsidR="00DC11A3" w:rsidRDefault="00DC11A3" w:rsidP="00DC11A3">
      <w:pPr>
        <w:spacing w:after="0" w:line="360" w:lineRule="auto"/>
        <w:jc w:val="center"/>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INDICE</w:t>
      </w: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DC11A3" w:rsidRPr="003416F2" w:rsidRDefault="00DC11A3" w:rsidP="00A2377D">
          <w:pPr>
            <w:pStyle w:val="TtulodeTDC"/>
            <w:spacing w:line="480" w:lineRule="auto"/>
            <w:rPr>
              <w:rFonts w:ascii="Palatino Linotype" w:hAnsi="Palatino Linotype"/>
              <w:b/>
              <w:color w:val="auto"/>
              <w:sz w:val="24"/>
            </w:rPr>
          </w:pPr>
          <w:r w:rsidRPr="003416F2">
            <w:rPr>
              <w:rFonts w:ascii="Palatino Linotype" w:hAnsi="Palatino Linotype"/>
              <w:b/>
              <w:color w:val="auto"/>
              <w:sz w:val="24"/>
              <w:lang w:val="es-ES"/>
            </w:rPr>
            <w:t>Contenido</w:t>
          </w:r>
        </w:p>
        <w:p w:rsidR="00F1759C" w:rsidRDefault="00DC11A3">
          <w:pPr>
            <w:pStyle w:val="TDC1"/>
            <w:tabs>
              <w:tab w:val="left" w:pos="440"/>
              <w:tab w:val="right" w:leader="dot" w:pos="8828"/>
            </w:tabs>
            <w:rPr>
              <w:rFonts w:eastAsiaTheme="minorEastAsia"/>
              <w:noProof/>
              <w:lang w:eastAsia="es-MX"/>
            </w:rPr>
          </w:pPr>
          <w:r>
            <w:rPr>
              <w:rFonts w:eastAsiaTheme="minorEastAsia"/>
              <w:sz w:val="24"/>
              <w:szCs w:val="24"/>
              <w:lang w:val="es-ES_tradnl" w:eastAsia="es-ES"/>
            </w:rPr>
            <w:fldChar w:fldCharType="begin"/>
          </w:r>
          <w:r>
            <w:instrText xml:space="preserve"> TOC \o "1-3" \h \z \u </w:instrText>
          </w:r>
          <w:r>
            <w:rPr>
              <w:rFonts w:eastAsiaTheme="minorEastAsia"/>
              <w:sz w:val="24"/>
              <w:szCs w:val="24"/>
              <w:lang w:val="es-ES_tradnl" w:eastAsia="es-ES"/>
            </w:rPr>
            <w:fldChar w:fldCharType="separate"/>
          </w:r>
          <w:hyperlink w:anchor="_Toc9867330" w:history="1">
            <w:r w:rsidR="00F1759C" w:rsidRPr="00B36F3C">
              <w:rPr>
                <w:rStyle w:val="Hipervnculo"/>
                <w:rFonts w:ascii="Palatino Linotype" w:hAnsi="Palatino Linotype"/>
                <w:b/>
                <w:noProof/>
              </w:rPr>
              <w:t>I.</w:t>
            </w:r>
            <w:r w:rsidR="00F1759C">
              <w:rPr>
                <w:rFonts w:eastAsiaTheme="minorEastAsia"/>
                <w:noProof/>
                <w:lang w:eastAsia="es-MX"/>
              </w:rPr>
              <w:tab/>
            </w:r>
            <w:r w:rsidR="00F1759C" w:rsidRPr="00B36F3C">
              <w:rPr>
                <w:rStyle w:val="Hipervnculo"/>
                <w:rFonts w:ascii="Palatino Linotype" w:hAnsi="Palatino Linotype"/>
                <w:b/>
                <w:noProof/>
              </w:rPr>
              <w:t>Consideraciones generales.</w:t>
            </w:r>
            <w:r w:rsidR="00F1759C">
              <w:rPr>
                <w:noProof/>
                <w:webHidden/>
              </w:rPr>
              <w:tab/>
            </w:r>
            <w:r w:rsidR="00F1759C">
              <w:rPr>
                <w:noProof/>
                <w:webHidden/>
              </w:rPr>
              <w:fldChar w:fldCharType="begin"/>
            </w:r>
            <w:r w:rsidR="00F1759C">
              <w:rPr>
                <w:noProof/>
                <w:webHidden/>
              </w:rPr>
              <w:instrText xml:space="preserve"> PAGEREF _Toc9867330 \h </w:instrText>
            </w:r>
            <w:r w:rsidR="00F1759C">
              <w:rPr>
                <w:noProof/>
                <w:webHidden/>
              </w:rPr>
            </w:r>
            <w:r w:rsidR="00F1759C">
              <w:rPr>
                <w:noProof/>
                <w:webHidden/>
              </w:rPr>
              <w:fldChar w:fldCharType="separate"/>
            </w:r>
            <w:r w:rsidR="00F1759C">
              <w:rPr>
                <w:noProof/>
                <w:webHidden/>
              </w:rPr>
              <w:t>2</w:t>
            </w:r>
            <w:r w:rsidR="00F1759C">
              <w:rPr>
                <w:noProof/>
                <w:webHidden/>
              </w:rPr>
              <w:fldChar w:fldCharType="end"/>
            </w:r>
          </w:hyperlink>
        </w:p>
        <w:p w:rsidR="00F1759C" w:rsidRDefault="00551570">
          <w:pPr>
            <w:pStyle w:val="TDC1"/>
            <w:tabs>
              <w:tab w:val="left" w:pos="660"/>
              <w:tab w:val="right" w:leader="dot" w:pos="8828"/>
            </w:tabs>
            <w:rPr>
              <w:rFonts w:eastAsiaTheme="minorEastAsia"/>
              <w:noProof/>
              <w:lang w:eastAsia="es-MX"/>
            </w:rPr>
          </w:pPr>
          <w:hyperlink w:anchor="_Toc9867331" w:history="1">
            <w:r w:rsidR="00F1759C" w:rsidRPr="00B36F3C">
              <w:rPr>
                <w:rStyle w:val="Hipervnculo"/>
                <w:rFonts w:ascii="Palatino Linotype" w:hAnsi="Palatino Linotype"/>
                <w:b/>
                <w:noProof/>
              </w:rPr>
              <w:t>II.</w:t>
            </w:r>
            <w:r w:rsidR="00F1759C">
              <w:rPr>
                <w:rFonts w:eastAsiaTheme="minorEastAsia"/>
                <w:noProof/>
                <w:lang w:eastAsia="es-MX"/>
              </w:rPr>
              <w:tab/>
            </w:r>
            <w:r w:rsidR="00F1759C" w:rsidRPr="00B36F3C">
              <w:rPr>
                <w:rStyle w:val="Hipervnculo"/>
                <w:rFonts w:ascii="Palatino Linotype" w:hAnsi="Palatino Linotype"/>
                <w:b/>
                <w:noProof/>
              </w:rPr>
              <w:t>La condición de definitividad de las resoluciones de los órganos garantes del derecho de acceso a la información pública.</w:t>
            </w:r>
            <w:r w:rsidR="00F1759C">
              <w:rPr>
                <w:noProof/>
                <w:webHidden/>
              </w:rPr>
              <w:tab/>
            </w:r>
            <w:r w:rsidR="00F1759C">
              <w:rPr>
                <w:noProof/>
                <w:webHidden/>
              </w:rPr>
              <w:fldChar w:fldCharType="begin"/>
            </w:r>
            <w:r w:rsidR="00F1759C">
              <w:rPr>
                <w:noProof/>
                <w:webHidden/>
              </w:rPr>
              <w:instrText xml:space="preserve"> PAGEREF _Toc9867331 \h </w:instrText>
            </w:r>
            <w:r w:rsidR="00F1759C">
              <w:rPr>
                <w:noProof/>
                <w:webHidden/>
              </w:rPr>
            </w:r>
            <w:r w:rsidR="00F1759C">
              <w:rPr>
                <w:noProof/>
                <w:webHidden/>
              </w:rPr>
              <w:fldChar w:fldCharType="separate"/>
            </w:r>
            <w:r w:rsidR="00F1759C">
              <w:rPr>
                <w:noProof/>
                <w:webHidden/>
              </w:rPr>
              <w:t>4</w:t>
            </w:r>
            <w:r w:rsidR="00F1759C">
              <w:rPr>
                <w:noProof/>
                <w:webHidden/>
              </w:rPr>
              <w:fldChar w:fldCharType="end"/>
            </w:r>
          </w:hyperlink>
        </w:p>
        <w:p w:rsidR="00F1759C" w:rsidRDefault="00551570">
          <w:pPr>
            <w:pStyle w:val="TDC1"/>
            <w:tabs>
              <w:tab w:val="left" w:pos="660"/>
              <w:tab w:val="right" w:leader="dot" w:pos="8828"/>
            </w:tabs>
            <w:rPr>
              <w:rFonts w:eastAsiaTheme="minorEastAsia"/>
              <w:noProof/>
              <w:lang w:eastAsia="es-MX"/>
            </w:rPr>
          </w:pPr>
          <w:hyperlink w:anchor="_Toc9867332" w:history="1">
            <w:r w:rsidR="00F1759C" w:rsidRPr="00B36F3C">
              <w:rPr>
                <w:rStyle w:val="Hipervnculo"/>
                <w:rFonts w:ascii="Palatino Linotype" w:hAnsi="Palatino Linotype"/>
                <w:b/>
                <w:noProof/>
                <w:lang w:val="es-ES"/>
              </w:rPr>
              <w:t>III.</w:t>
            </w:r>
            <w:r w:rsidR="00F1759C">
              <w:rPr>
                <w:rFonts w:eastAsiaTheme="minorEastAsia"/>
                <w:noProof/>
                <w:lang w:eastAsia="es-MX"/>
              </w:rPr>
              <w:tab/>
            </w:r>
            <w:r w:rsidR="00F1759C" w:rsidRPr="00B36F3C">
              <w:rPr>
                <w:rStyle w:val="Hipervnculo"/>
                <w:rFonts w:ascii="Palatino Linotype" w:hAnsi="Palatino Linotype"/>
                <w:b/>
                <w:noProof/>
                <w:lang w:val="es-ES"/>
              </w:rPr>
              <w:t>La naturaleza de los Sujetos Obligados.</w:t>
            </w:r>
            <w:r w:rsidR="00F1759C">
              <w:rPr>
                <w:noProof/>
                <w:webHidden/>
              </w:rPr>
              <w:tab/>
            </w:r>
            <w:r w:rsidR="00F1759C">
              <w:rPr>
                <w:noProof/>
                <w:webHidden/>
              </w:rPr>
              <w:fldChar w:fldCharType="begin"/>
            </w:r>
            <w:r w:rsidR="00F1759C">
              <w:rPr>
                <w:noProof/>
                <w:webHidden/>
              </w:rPr>
              <w:instrText xml:space="preserve"> PAGEREF _Toc9867332 \h </w:instrText>
            </w:r>
            <w:r w:rsidR="00F1759C">
              <w:rPr>
                <w:noProof/>
                <w:webHidden/>
              </w:rPr>
            </w:r>
            <w:r w:rsidR="00F1759C">
              <w:rPr>
                <w:noProof/>
                <w:webHidden/>
              </w:rPr>
              <w:fldChar w:fldCharType="separate"/>
            </w:r>
            <w:r w:rsidR="00F1759C">
              <w:rPr>
                <w:noProof/>
                <w:webHidden/>
              </w:rPr>
              <w:t>7</w:t>
            </w:r>
            <w:r w:rsidR="00F1759C">
              <w:rPr>
                <w:noProof/>
                <w:webHidden/>
              </w:rPr>
              <w:fldChar w:fldCharType="end"/>
            </w:r>
          </w:hyperlink>
        </w:p>
        <w:p w:rsidR="00F1759C" w:rsidRDefault="00551570">
          <w:pPr>
            <w:pStyle w:val="TDC1"/>
            <w:tabs>
              <w:tab w:val="left" w:pos="660"/>
              <w:tab w:val="right" w:leader="dot" w:pos="8828"/>
            </w:tabs>
            <w:rPr>
              <w:rFonts w:eastAsiaTheme="minorEastAsia"/>
              <w:noProof/>
              <w:lang w:eastAsia="es-MX"/>
            </w:rPr>
          </w:pPr>
          <w:hyperlink w:anchor="_Toc9867333" w:history="1">
            <w:r w:rsidR="00F1759C" w:rsidRPr="00B36F3C">
              <w:rPr>
                <w:rStyle w:val="Hipervnculo"/>
                <w:rFonts w:ascii="Palatino Linotype" w:hAnsi="Palatino Linotype"/>
                <w:b/>
                <w:noProof/>
                <w:lang w:val="es-ES"/>
              </w:rPr>
              <w:t>IV.</w:t>
            </w:r>
            <w:r w:rsidR="00F1759C">
              <w:rPr>
                <w:rFonts w:eastAsiaTheme="minorEastAsia"/>
                <w:noProof/>
                <w:lang w:eastAsia="es-MX"/>
              </w:rPr>
              <w:tab/>
            </w:r>
            <w:r w:rsidR="00F1759C" w:rsidRPr="00B36F3C">
              <w:rPr>
                <w:rStyle w:val="Hipervnculo"/>
                <w:rFonts w:ascii="Palatino Linotype" w:hAnsi="Palatino Linotype"/>
                <w:b/>
                <w:noProof/>
                <w:lang w:val="es-ES"/>
              </w:rPr>
              <w:t>Problema y propuesta.</w:t>
            </w:r>
            <w:r w:rsidR="00F1759C">
              <w:rPr>
                <w:noProof/>
                <w:webHidden/>
              </w:rPr>
              <w:tab/>
            </w:r>
            <w:r w:rsidR="00F1759C">
              <w:rPr>
                <w:noProof/>
                <w:webHidden/>
              </w:rPr>
              <w:fldChar w:fldCharType="begin"/>
            </w:r>
            <w:r w:rsidR="00F1759C">
              <w:rPr>
                <w:noProof/>
                <w:webHidden/>
              </w:rPr>
              <w:instrText xml:space="preserve"> PAGEREF _Toc9867333 \h </w:instrText>
            </w:r>
            <w:r w:rsidR="00F1759C">
              <w:rPr>
                <w:noProof/>
                <w:webHidden/>
              </w:rPr>
            </w:r>
            <w:r w:rsidR="00F1759C">
              <w:rPr>
                <w:noProof/>
                <w:webHidden/>
              </w:rPr>
              <w:fldChar w:fldCharType="separate"/>
            </w:r>
            <w:r w:rsidR="00F1759C">
              <w:rPr>
                <w:noProof/>
                <w:webHidden/>
              </w:rPr>
              <w:t>14</w:t>
            </w:r>
            <w:r w:rsidR="00F1759C">
              <w:rPr>
                <w:noProof/>
                <w:webHidden/>
              </w:rPr>
              <w:fldChar w:fldCharType="end"/>
            </w:r>
          </w:hyperlink>
        </w:p>
        <w:p w:rsidR="00F1759C" w:rsidRDefault="00551570">
          <w:pPr>
            <w:pStyle w:val="TDC1"/>
            <w:tabs>
              <w:tab w:val="left" w:pos="660"/>
              <w:tab w:val="right" w:leader="dot" w:pos="8828"/>
            </w:tabs>
            <w:rPr>
              <w:rFonts w:eastAsiaTheme="minorEastAsia"/>
              <w:noProof/>
              <w:lang w:eastAsia="es-MX"/>
            </w:rPr>
          </w:pPr>
          <w:hyperlink w:anchor="_Toc9867334" w:history="1">
            <w:r w:rsidR="00F1759C" w:rsidRPr="00B36F3C">
              <w:rPr>
                <w:rStyle w:val="Hipervnculo"/>
                <w:rFonts w:ascii="Palatino Linotype" w:hAnsi="Palatino Linotype"/>
                <w:b/>
                <w:noProof/>
                <w:lang w:val="es-ES"/>
              </w:rPr>
              <w:t>V.</w:t>
            </w:r>
            <w:r w:rsidR="00F1759C">
              <w:rPr>
                <w:rFonts w:eastAsiaTheme="minorEastAsia"/>
                <w:noProof/>
                <w:lang w:eastAsia="es-MX"/>
              </w:rPr>
              <w:tab/>
            </w:r>
            <w:r w:rsidR="00F1759C" w:rsidRPr="00B36F3C">
              <w:rPr>
                <w:rStyle w:val="Hipervnculo"/>
                <w:rFonts w:ascii="Palatino Linotype" w:hAnsi="Palatino Linotype"/>
                <w:b/>
                <w:noProof/>
                <w:lang w:val="es-ES"/>
              </w:rPr>
              <w:t>Conclusión.</w:t>
            </w:r>
            <w:r w:rsidR="00F1759C">
              <w:rPr>
                <w:noProof/>
                <w:webHidden/>
              </w:rPr>
              <w:tab/>
            </w:r>
            <w:r w:rsidR="00F1759C">
              <w:rPr>
                <w:noProof/>
                <w:webHidden/>
              </w:rPr>
              <w:fldChar w:fldCharType="begin"/>
            </w:r>
            <w:r w:rsidR="00F1759C">
              <w:rPr>
                <w:noProof/>
                <w:webHidden/>
              </w:rPr>
              <w:instrText xml:space="preserve"> PAGEREF _Toc9867334 \h </w:instrText>
            </w:r>
            <w:r w:rsidR="00F1759C">
              <w:rPr>
                <w:noProof/>
                <w:webHidden/>
              </w:rPr>
            </w:r>
            <w:r w:rsidR="00F1759C">
              <w:rPr>
                <w:noProof/>
                <w:webHidden/>
              </w:rPr>
              <w:fldChar w:fldCharType="separate"/>
            </w:r>
            <w:r w:rsidR="00F1759C">
              <w:rPr>
                <w:noProof/>
                <w:webHidden/>
              </w:rPr>
              <w:t>17</w:t>
            </w:r>
            <w:r w:rsidR="00F1759C">
              <w:rPr>
                <w:noProof/>
                <w:webHidden/>
              </w:rPr>
              <w:fldChar w:fldCharType="end"/>
            </w:r>
          </w:hyperlink>
        </w:p>
        <w:p w:rsidR="00DC11A3" w:rsidRDefault="00DC11A3" w:rsidP="00A2377D">
          <w:pPr>
            <w:spacing w:line="480" w:lineRule="auto"/>
          </w:pPr>
          <w:r>
            <w:rPr>
              <w:b/>
              <w:bCs/>
              <w:lang w:val="es-ES"/>
            </w:rPr>
            <w:fldChar w:fldCharType="end"/>
          </w:r>
        </w:p>
      </w:sdtContent>
    </w:sdt>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Default="00DC11A3" w:rsidP="00DC11A3">
      <w:pPr>
        <w:spacing w:after="0" w:line="360" w:lineRule="auto"/>
        <w:jc w:val="both"/>
        <w:rPr>
          <w:rFonts w:ascii="Palatino Linotype" w:eastAsia="Times New Roman" w:hAnsi="Palatino Linotype" w:cs="Arial"/>
          <w:sz w:val="24"/>
          <w:szCs w:val="24"/>
          <w:lang w:val="es-ES" w:eastAsia="es-ES"/>
        </w:rPr>
      </w:pPr>
    </w:p>
    <w:p w:rsidR="00DC11A3" w:rsidRDefault="00DC11A3"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F1759C" w:rsidRDefault="00F1759C"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F1759C" w:rsidRDefault="00F1759C"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F1759C" w:rsidRDefault="00F1759C"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DC11A3" w:rsidRDefault="00DC11A3"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DC11A3" w:rsidRDefault="00627CAE" w:rsidP="00DC11A3">
      <w:pPr>
        <w:pStyle w:val="Ttulo1"/>
        <w:numPr>
          <w:ilvl w:val="0"/>
          <w:numId w:val="16"/>
        </w:numPr>
        <w:rPr>
          <w:rFonts w:ascii="Palatino Linotype" w:hAnsi="Palatino Linotype"/>
          <w:b/>
          <w:color w:val="auto"/>
          <w:sz w:val="24"/>
        </w:rPr>
      </w:pPr>
      <w:bookmarkStart w:id="1" w:name="_Toc9867330"/>
      <w:r w:rsidRPr="00DC11A3">
        <w:rPr>
          <w:rFonts w:ascii="Palatino Linotype" w:hAnsi="Palatino Linotype"/>
          <w:b/>
          <w:color w:val="auto"/>
          <w:sz w:val="24"/>
        </w:rPr>
        <w:lastRenderedPageBreak/>
        <w:t>Consideraciones generales.</w:t>
      </w:r>
      <w:bookmarkEnd w:id="1"/>
    </w:p>
    <w:p w:rsidR="00627CAE" w:rsidRPr="0037358E" w:rsidRDefault="00627CAE" w:rsidP="00627CAE">
      <w:pPr>
        <w:spacing w:after="0" w:line="360" w:lineRule="auto"/>
        <w:jc w:val="both"/>
        <w:rPr>
          <w:rFonts w:ascii="Palatino Linotype" w:hAnsi="Palatino Linotype" w:cs="Arial"/>
          <w:sz w:val="24"/>
          <w:szCs w:val="24"/>
        </w:rPr>
      </w:pPr>
    </w:p>
    <w:p w:rsidR="00627CAE" w:rsidRPr="000052AD" w:rsidRDefault="00627CAE" w:rsidP="000052AD">
      <w:pPr>
        <w:pStyle w:val="Prrafodelista"/>
        <w:numPr>
          <w:ilvl w:val="0"/>
          <w:numId w:val="1"/>
        </w:numPr>
        <w:spacing w:after="0" w:line="360" w:lineRule="auto"/>
        <w:ind w:left="426"/>
        <w:jc w:val="both"/>
        <w:rPr>
          <w:rFonts w:ascii="Palatino Linotype" w:hAnsi="Palatino Linotype" w:cs="Arial"/>
          <w:sz w:val="24"/>
          <w:szCs w:val="24"/>
        </w:rPr>
      </w:pPr>
      <w:r w:rsidRPr="0037358E">
        <w:rPr>
          <w:rFonts w:ascii="Palatino Linotype" w:eastAsia="Times New Roman" w:hAnsi="Palatino Linotype" w:cs="Arial"/>
          <w:sz w:val="24"/>
          <w:szCs w:val="24"/>
          <w:lang w:val="es-ES_tradnl"/>
        </w:rPr>
        <w:t xml:space="preserve"> He concurrido con mi voto particular de la presente resolución emitida </w:t>
      </w:r>
      <w:r w:rsidRPr="0037358E">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125FD4">
        <w:rPr>
          <w:rFonts w:ascii="Palatino Linotype" w:hAnsi="Palatino Linotype" w:cs="Arial"/>
          <w:sz w:val="24"/>
          <w:szCs w:val="24"/>
        </w:rPr>
        <w:t xml:space="preserve">Décimo Primera </w:t>
      </w:r>
      <w:r w:rsidR="00A2377D">
        <w:rPr>
          <w:rFonts w:ascii="Palatino Linotype" w:hAnsi="Palatino Linotype" w:cs="Arial"/>
          <w:sz w:val="24"/>
          <w:szCs w:val="24"/>
        </w:rPr>
        <w:t>Sesión O</w:t>
      </w:r>
      <w:r w:rsidRPr="0037358E">
        <w:rPr>
          <w:rFonts w:ascii="Palatino Linotype" w:hAnsi="Palatino Linotype" w:cs="Arial"/>
          <w:sz w:val="24"/>
          <w:szCs w:val="24"/>
        </w:rPr>
        <w:t xml:space="preserve">rdinaria llevada a cabo el </w:t>
      </w:r>
      <w:r w:rsidR="00125FD4">
        <w:rPr>
          <w:rFonts w:ascii="Palatino Linotype" w:hAnsi="Palatino Linotype" w:cs="Arial"/>
          <w:sz w:val="24"/>
          <w:szCs w:val="24"/>
        </w:rPr>
        <w:t xml:space="preserve">veintidós (22) de mayo </w:t>
      </w:r>
      <w:r w:rsidRPr="0037358E">
        <w:rPr>
          <w:rFonts w:ascii="Palatino Linotype" w:hAnsi="Palatino Linotype" w:cs="Arial"/>
          <w:sz w:val="24"/>
          <w:szCs w:val="24"/>
        </w:rPr>
        <w:t>del año en curso, en el recurso de revisión promovido en contra de la</w:t>
      </w:r>
      <w:r>
        <w:rPr>
          <w:rFonts w:ascii="Palatino Linotype" w:hAnsi="Palatino Linotype" w:cs="Arial"/>
          <w:sz w:val="24"/>
          <w:szCs w:val="24"/>
        </w:rPr>
        <w:t xml:space="preserve"> respuesta</w:t>
      </w:r>
      <w:r w:rsidRPr="0037358E">
        <w:rPr>
          <w:rFonts w:ascii="Palatino Linotype" w:hAnsi="Palatino Linotype" w:cs="Arial"/>
          <w:sz w:val="24"/>
          <w:szCs w:val="24"/>
        </w:rPr>
        <w:t xml:space="preserve"> de</w:t>
      </w:r>
      <w:r w:rsidR="00980C62">
        <w:rPr>
          <w:rFonts w:ascii="Palatino Linotype" w:hAnsi="Palatino Linotype" w:cs="Arial"/>
          <w:sz w:val="24"/>
          <w:szCs w:val="24"/>
        </w:rPr>
        <w:t xml:space="preserve"> </w:t>
      </w:r>
      <w:r w:rsidRPr="0037358E">
        <w:rPr>
          <w:rFonts w:ascii="Palatino Linotype" w:hAnsi="Palatino Linotype" w:cs="Arial"/>
          <w:sz w:val="24"/>
          <w:szCs w:val="24"/>
        </w:rPr>
        <w:t>l</w:t>
      </w:r>
      <w:r w:rsidR="00980C62">
        <w:rPr>
          <w:rFonts w:ascii="Palatino Linotype" w:hAnsi="Palatino Linotype" w:cs="Arial"/>
          <w:sz w:val="24"/>
          <w:szCs w:val="24"/>
        </w:rPr>
        <w:t>a</w:t>
      </w:r>
      <w:r w:rsidRPr="0037358E">
        <w:rPr>
          <w:rFonts w:ascii="Palatino Linotype" w:hAnsi="Palatino Linotype" w:cs="Arial"/>
          <w:sz w:val="24"/>
          <w:szCs w:val="24"/>
        </w:rPr>
        <w:t xml:space="preserve"> </w:t>
      </w:r>
      <w:r w:rsidR="00A2377D" w:rsidRPr="000052AD">
        <w:rPr>
          <w:rFonts w:ascii="Palatino Linotype" w:hAnsi="Palatino Linotype" w:cs="Arial"/>
          <w:b/>
          <w:sz w:val="24"/>
          <w:szCs w:val="24"/>
        </w:rPr>
        <w:t>Agrupación de Trabajadores al Servicio del Colegio</w:t>
      </w:r>
      <w:r w:rsidR="000052AD" w:rsidRPr="000052AD">
        <w:rPr>
          <w:rFonts w:ascii="Palatino Linotype" w:hAnsi="Palatino Linotype" w:cs="Arial"/>
          <w:b/>
          <w:sz w:val="24"/>
          <w:szCs w:val="24"/>
        </w:rPr>
        <w:t xml:space="preserve"> de Estudios Científicos y T</w:t>
      </w:r>
      <w:r w:rsidR="00A2377D" w:rsidRPr="000052AD">
        <w:rPr>
          <w:rFonts w:ascii="Palatino Linotype" w:hAnsi="Palatino Linotype" w:cs="Arial"/>
          <w:b/>
          <w:sz w:val="24"/>
          <w:szCs w:val="24"/>
        </w:rPr>
        <w:t>ecnológicos del Estado de México</w:t>
      </w:r>
      <w:r w:rsidR="000052AD" w:rsidRPr="000052AD">
        <w:rPr>
          <w:rFonts w:ascii="Palatino Linotype" w:hAnsi="Palatino Linotype" w:cs="Arial"/>
          <w:b/>
          <w:sz w:val="24"/>
          <w:szCs w:val="24"/>
        </w:rPr>
        <w:t xml:space="preserve"> (ATASCECYTEM)</w:t>
      </w:r>
      <w:r w:rsidR="004B6A69" w:rsidRPr="000052AD">
        <w:rPr>
          <w:rFonts w:ascii="Palatino Linotype" w:hAnsi="Palatino Linotype" w:cs="Arial"/>
          <w:sz w:val="24"/>
          <w:szCs w:val="24"/>
        </w:rPr>
        <w:t>,</w:t>
      </w:r>
      <w:r w:rsidRPr="000052AD">
        <w:rPr>
          <w:rFonts w:ascii="Palatino Linotype" w:hAnsi="Palatino Linotype" w:cs="Arial"/>
          <w:sz w:val="24"/>
          <w:szCs w:val="24"/>
        </w:rPr>
        <w:t xml:space="preserve"> procedimiento al que se le </w:t>
      </w:r>
      <w:r w:rsidR="004B6A69" w:rsidRPr="000052AD">
        <w:rPr>
          <w:rFonts w:ascii="Palatino Linotype" w:hAnsi="Palatino Linotype" w:cs="Arial"/>
          <w:sz w:val="24"/>
          <w:szCs w:val="24"/>
        </w:rPr>
        <w:t>asignó el número de expediente</w:t>
      </w:r>
      <w:r w:rsidRPr="000052AD">
        <w:rPr>
          <w:rFonts w:ascii="Palatino Linotype" w:hAnsi="Palatino Linotype" w:cs="Arial"/>
          <w:sz w:val="24"/>
          <w:szCs w:val="24"/>
        </w:rPr>
        <w:t xml:space="preserve"> </w:t>
      </w:r>
      <w:r w:rsidR="00125FD4">
        <w:rPr>
          <w:rFonts w:ascii="Palatino Linotype" w:hAnsi="Palatino Linotype" w:cs="Arial"/>
          <w:b/>
          <w:sz w:val="24"/>
          <w:szCs w:val="24"/>
        </w:rPr>
        <w:t>01847/INFOEM/IP/RR/2019.</w:t>
      </w:r>
    </w:p>
    <w:p w:rsidR="00627CAE" w:rsidRPr="0037358E" w:rsidRDefault="00627CAE" w:rsidP="00627CAE">
      <w:pPr>
        <w:pStyle w:val="Prrafodelista"/>
        <w:spacing w:after="0" w:line="360" w:lineRule="auto"/>
        <w:ind w:left="0"/>
        <w:jc w:val="both"/>
        <w:rPr>
          <w:rFonts w:ascii="Palatino Linotype" w:hAnsi="Palatino Linotype" w:cs="Arial"/>
          <w:sz w:val="24"/>
          <w:szCs w:val="24"/>
        </w:rPr>
      </w:pPr>
    </w:p>
    <w:p w:rsidR="00980C62" w:rsidRPr="00980C62"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 La resolución declara</w:t>
      </w:r>
      <w:r w:rsidR="00980C62">
        <w:rPr>
          <w:rFonts w:ascii="Palatino Linotype" w:hAnsi="Palatino Linotype" w:cs="Arial"/>
          <w:sz w:val="24"/>
          <w:szCs w:val="24"/>
        </w:rPr>
        <w:t xml:space="preserve"> </w:t>
      </w:r>
      <w:r w:rsidRPr="0037358E">
        <w:rPr>
          <w:rFonts w:ascii="Palatino Linotype" w:eastAsia="Times New Roman" w:hAnsi="Palatino Linotype" w:cs="Arial"/>
          <w:sz w:val="24"/>
          <w:szCs w:val="24"/>
        </w:rPr>
        <w:t xml:space="preserve">fundados los motivos de inconformidad, </w:t>
      </w:r>
      <w:r w:rsidR="00980C62">
        <w:rPr>
          <w:rFonts w:ascii="Palatino Linotype" w:eastAsia="Times New Roman" w:hAnsi="Palatino Linotype" w:cs="Arial"/>
          <w:sz w:val="24"/>
          <w:szCs w:val="24"/>
        </w:rPr>
        <w:t>revocando</w:t>
      </w:r>
      <w:r w:rsidRPr="0037358E">
        <w:rPr>
          <w:rFonts w:ascii="Palatino Linotype" w:eastAsia="Times New Roman" w:hAnsi="Palatino Linotype" w:cs="Arial"/>
          <w:sz w:val="24"/>
          <w:szCs w:val="24"/>
        </w:rPr>
        <w:t xml:space="preserve"> la respuesta </w:t>
      </w:r>
      <w:r w:rsidR="004B6A69">
        <w:rPr>
          <w:rFonts w:ascii="Palatino Linotype" w:eastAsia="Times New Roman" w:hAnsi="Palatino Linotype" w:cs="Arial"/>
          <w:sz w:val="24"/>
          <w:szCs w:val="24"/>
        </w:rPr>
        <w:t xml:space="preserve">del Sujeto Obligado </w:t>
      </w:r>
      <w:r w:rsidRPr="0037358E">
        <w:rPr>
          <w:rFonts w:ascii="Palatino Linotype" w:eastAsia="Times New Roman" w:hAnsi="Palatino Linotype" w:cs="Arial"/>
          <w:sz w:val="24"/>
          <w:szCs w:val="24"/>
        </w:rPr>
        <w:t xml:space="preserve">y ordena </w:t>
      </w:r>
      <w:r w:rsidR="00A2377D">
        <w:rPr>
          <w:rFonts w:ascii="Palatino Linotype" w:eastAsia="Times New Roman" w:hAnsi="Palatino Linotype" w:cs="Arial"/>
          <w:sz w:val="24"/>
          <w:szCs w:val="24"/>
        </w:rPr>
        <w:t>entregar la información requerida.</w:t>
      </w:r>
    </w:p>
    <w:p w:rsidR="00980C62" w:rsidRPr="00980C62" w:rsidRDefault="00980C62" w:rsidP="00980C62">
      <w:pPr>
        <w:pStyle w:val="Prrafodelista"/>
        <w:rPr>
          <w:rFonts w:ascii="Palatino Linotype" w:eastAsia="Times New Roman" w:hAnsi="Palatino Linotype" w:cs="Arial"/>
          <w:sz w:val="24"/>
          <w:szCs w:val="24"/>
        </w:rPr>
      </w:pPr>
    </w:p>
    <w:p w:rsidR="00627CAE" w:rsidRDefault="00A2377D" w:rsidP="00627CAE">
      <w:pPr>
        <w:pStyle w:val="Prrafodelista"/>
        <w:numPr>
          <w:ilvl w:val="0"/>
          <w:numId w:val="1"/>
        </w:numPr>
        <w:spacing w:before="240" w:after="240" w:line="360" w:lineRule="auto"/>
        <w:ind w:left="426"/>
        <w:jc w:val="both"/>
        <w:rPr>
          <w:rFonts w:ascii="Palatino Linotype" w:hAnsi="Palatino Linotype" w:cs="Arial"/>
          <w:sz w:val="24"/>
          <w:szCs w:val="24"/>
        </w:rPr>
      </w:pPr>
      <w:r>
        <w:rPr>
          <w:rFonts w:ascii="Palatino Linotype" w:eastAsia="Times New Roman" w:hAnsi="Palatino Linotype" w:cs="Arial"/>
          <w:sz w:val="24"/>
          <w:szCs w:val="24"/>
        </w:rPr>
        <w:t>Mi voto particular se deriva del hecho de que,</w:t>
      </w:r>
      <w:r w:rsidR="00980C62">
        <w:rPr>
          <w:rFonts w:ascii="Palatino Linotype" w:eastAsia="Times New Roman" w:hAnsi="Palatino Linotype" w:cs="Arial"/>
          <w:sz w:val="24"/>
          <w:szCs w:val="24"/>
        </w:rPr>
        <w:t xml:space="preserve"> en el</w:t>
      </w:r>
      <w:r w:rsidR="00627CAE" w:rsidRPr="0037358E">
        <w:rPr>
          <w:rFonts w:ascii="Palatino Linotype" w:eastAsia="Times New Roman" w:hAnsi="Palatino Linotype" w:cs="Arial"/>
          <w:sz w:val="24"/>
          <w:szCs w:val="24"/>
        </w:rPr>
        <w:t xml:space="preserve"> resolutivo cuarto informa </w:t>
      </w:r>
      <w:r w:rsidR="00DC11A3" w:rsidRPr="0037358E">
        <w:rPr>
          <w:rFonts w:ascii="Palatino Linotype" w:eastAsia="Times New Roman" w:hAnsi="Palatino Linotype" w:cs="Arial"/>
          <w:sz w:val="24"/>
          <w:szCs w:val="24"/>
        </w:rPr>
        <w:t>a</w:t>
      </w:r>
      <w:r w:rsidR="00114E2B">
        <w:rPr>
          <w:rFonts w:ascii="Palatino Linotype" w:eastAsia="Times New Roman" w:hAnsi="Palatino Linotype" w:cs="Arial"/>
          <w:sz w:val="24"/>
          <w:szCs w:val="24"/>
        </w:rPr>
        <w:t>l</w:t>
      </w:r>
      <w:r w:rsidR="00DC11A3">
        <w:rPr>
          <w:rFonts w:ascii="Palatino Linotype" w:eastAsia="Times New Roman" w:hAnsi="Palatino Linotype" w:cs="Arial"/>
          <w:sz w:val="24"/>
          <w:szCs w:val="24"/>
        </w:rPr>
        <w:t xml:space="preserve"> </w:t>
      </w:r>
      <w:r w:rsidR="00B67CCF">
        <w:rPr>
          <w:rFonts w:ascii="Palatino Linotype" w:eastAsia="Times New Roman" w:hAnsi="Palatino Linotype" w:cs="Arial"/>
          <w:sz w:val="24"/>
          <w:szCs w:val="24"/>
        </w:rPr>
        <w:t>recurrente</w:t>
      </w:r>
      <w:r>
        <w:rPr>
          <w:rFonts w:ascii="Palatino Linotype" w:eastAsia="Times New Roman" w:hAnsi="Palatino Linotype" w:cs="Arial"/>
          <w:sz w:val="24"/>
          <w:szCs w:val="24"/>
        </w:rPr>
        <w:t xml:space="preserve"> </w:t>
      </w:r>
      <w:r w:rsidR="00627CAE" w:rsidRPr="00A2377D">
        <w:rPr>
          <w:rFonts w:ascii="Palatino Linotype" w:eastAsia="Times New Roman" w:hAnsi="Palatino Linotype" w:cs="Arial"/>
          <w:i/>
          <w:sz w:val="24"/>
          <w:szCs w:val="24"/>
        </w:rPr>
        <w:t>“</w:t>
      </w:r>
      <w:r w:rsidRPr="00A2377D">
        <w:rPr>
          <w:rFonts w:ascii="Palatino Linotype" w:eastAsia="Times New Roman" w:hAnsi="Palatino Linotype" w:cs="Arial"/>
          <w:i/>
          <w:sz w:val="24"/>
          <w:szCs w:val="24"/>
        </w:rPr>
        <w:t xml:space="preserve">de </w:t>
      </w:r>
      <w:r w:rsidR="00627CAE" w:rsidRPr="00A2377D">
        <w:rPr>
          <w:rFonts w:ascii="Palatino Linotype" w:eastAsia="Times New Roman" w:hAnsi="Palatino Linotype" w:cs="Arial"/>
          <w:i/>
          <w:sz w:val="24"/>
          <w:szCs w:val="24"/>
        </w:rPr>
        <w:t>considerar que la presente resolución le causa algún perjuicio, podrá promover el Juicio de Amparo”</w:t>
      </w:r>
      <w:r>
        <w:rPr>
          <w:rFonts w:ascii="Palatino Linotype" w:hAnsi="Palatino Linotype" w:cs="Arial"/>
          <w:sz w:val="24"/>
          <w:szCs w:val="24"/>
        </w:rPr>
        <w:t xml:space="preserve"> </w:t>
      </w:r>
      <w:r w:rsidR="00627CAE" w:rsidRPr="0037358E">
        <w:rPr>
          <w:rFonts w:ascii="Palatino Linotype" w:hAnsi="Palatino Linotype" w:cs="Arial"/>
          <w:sz w:val="24"/>
          <w:szCs w:val="24"/>
        </w:rPr>
        <w:t>ya que si bien esa fórmula es generalmente empleada en las resoluciones, resulta ser una decisión inadecuada para</w:t>
      </w:r>
      <w:r>
        <w:rPr>
          <w:rFonts w:ascii="Palatino Linotype" w:hAnsi="Palatino Linotype" w:cs="Arial"/>
          <w:sz w:val="24"/>
          <w:szCs w:val="24"/>
        </w:rPr>
        <w:t xml:space="preserve"> el presente caso en particular, toda vez que a los sindicatos les asiste, también, el derecho de promover juicio de amparo en caso de que las resoluciones que emite este Órgano Garante les cause algún perjuicio.</w:t>
      </w:r>
    </w:p>
    <w:p w:rsidR="00627CAE" w:rsidRPr="002E0BA4"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lastRenderedPageBreak/>
        <w:t xml:space="preserve"> Por tal motivo y en términos de lo </w:t>
      </w:r>
      <w:r>
        <w:rPr>
          <w:rFonts w:ascii="Palatino Linotype" w:hAnsi="Palatino Linotype" w:cs="Arial"/>
          <w:sz w:val="24"/>
          <w:szCs w:val="24"/>
        </w:rPr>
        <w:t xml:space="preserve">señalado en el artículo 14 fracción XI </w:t>
      </w:r>
      <w:r w:rsidRPr="0037358E">
        <w:rPr>
          <w:rFonts w:ascii="Palatino Linotype" w:hAnsi="Palatino Linotype" w:cs="Arial"/>
          <w:sz w:val="24"/>
          <w:szCs w:val="24"/>
        </w:rPr>
        <w:t xml:space="preserve">del Reglamento Interior del Instituto de Transparencia y Acceso a la Información Pública del Estado de México y Municipios formulo el presente voto particular. </w:t>
      </w:r>
    </w:p>
    <w:p w:rsidR="003416F2" w:rsidRPr="003416F2" w:rsidRDefault="003416F2" w:rsidP="003416F2">
      <w:pPr>
        <w:pStyle w:val="Prrafodelista"/>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rPr>
      </w:pPr>
      <w:bookmarkStart w:id="2" w:name="_Toc9867331"/>
      <w:r w:rsidRPr="00DC11A3">
        <w:rPr>
          <w:rFonts w:ascii="Palatino Linotype" w:hAnsi="Palatino Linotype"/>
          <w:b/>
          <w:color w:val="auto"/>
          <w:sz w:val="24"/>
        </w:rPr>
        <w:t>La condición de definitividad de las resoluciones de los órganos garantes del derecho de acceso a la información pública.</w:t>
      </w:r>
      <w:bookmarkEnd w:id="2"/>
      <w:r w:rsidRPr="00DC11A3">
        <w:rPr>
          <w:rFonts w:ascii="Palatino Linotype" w:hAnsi="Palatino Linotype"/>
          <w:b/>
          <w:color w:val="auto"/>
          <w:sz w:val="24"/>
        </w:rPr>
        <w:t xml:space="preserve"> </w:t>
      </w:r>
    </w:p>
    <w:p w:rsidR="00627CAE" w:rsidRPr="0037358E" w:rsidRDefault="00627CAE" w:rsidP="00627CAE">
      <w:pPr>
        <w:spacing w:after="0" w:line="360" w:lineRule="auto"/>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obligados”. Lo mismo se señala en el caso del artículo quinto de la Constitución 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627CAE" w:rsidRPr="0037358E" w:rsidRDefault="00627CAE" w:rsidP="00627CAE">
      <w:pPr>
        <w:pStyle w:val="Prrafodelista"/>
        <w:spacing w:before="240" w:after="240" w:line="360" w:lineRule="auto"/>
        <w:ind w:left="0"/>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En otras oportunidades he señalado que esa condición de definitividad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w:t>
      </w:r>
      <w:r w:rsidRPr="0037358E">
        <w:rPr>
          <w:rFonts w:ascii="Palatino Linotype" w:hAnsi="Palatino Linotype" w:cs="Arial"/>
          <w:sz w:val="24"/>
          <w:szCs w:val="24"/>
        </w:rPr>
        <w:lastRenderedPageBreak/>
        <w:t>decisión adoptada por órgano límite constitucional,</w:t>
      </w:r>
      <w:r w:rsidRPr="0037358E">
        <w:rPr>
          <w:rStyle w:val="Refdenotaalpie"/>
          <w:rFonts w:ascii="Palatino Linotype" w:hAnsi="Palatino Linotype" w:cs="Arial"/>
          <w:sz w:val="24"/>
          <w:szCs w:val="24"/>
        </w:rPr>
        <w:footnoteReference w:id="1"/>
      </w:r>
      <w:r w:rsidRPr="0037358E">
        <w:rPr>
          <w:rFonts w:ascii="Palatino Linotype" w:hAnsi="Palatino Linotype" w:cs="Arial"/>
          <w:sz w:val="24"/>
          <w:szCs w:val="24"/>
        </w:rPr>
        <w:t xml:space="preserve"> ya que el Sujeto Obligado no puede impugnar la determinación adoptada y, en consecuencia, se encuentra obligado a dar total cumplimiento a lo ordenado. </w:t>
      </w:r>
    </w:p>
    <w:p w:rsidR="00627CAE" w:rsidRPr="0037358E"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provocadas por alguna deficiencia en las respuestas de los sujetos obligados y por la falta de ésta, con ello, el recurso de revisión cumple con su naturaleza como la garantía secundaria que provoca la reparación del derecho afectado.  </w:t>
      </w:r>
    </w:p>
    <w:p w:rsidR="00627CAE" w:rsidRPr="00F7738C" w:rsidRDefault="00627CAE" w:rsidP="00627CAE">
      <w:pPr>
        <w:pStyle w:val="Prrafodelista"/>
        <w:rPr>
          <w:rFonts w:ascii="Palatino Linotype" w:hAnsi="Palatino Linotype" w:cs="Arial"/>
          <w:color w:val="000000" w:themeColor="text1"/>
          <w:sz w:val="24"/>
          <w:szCs w:val="24"/>
          <w:lang w:val="es-ES"/>
        </w:rPr>
      </w:pPr>
    </w:p>
    <w:p w:rsidR="00627CAE" w:rsidRPr="00F7738C"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627CAE" w:rsidRPr="00F7738C" w:rsidRDefault="00627CAE" w:rsidP="00F1759C">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w:t>
      </w:r>
      <w:r w:rsidRPr="00F7738C">
        <w:rPr>
          <w:rFonts w:ascii="Palatino Linotype" w:hAnsi="Palatino Linotype" w:cs="Arial"/>
          <w:i/>
          <w:color w:val="000000" w:themeColor="text1"/>
          <w:lang w:val="es-ES"/>
        </w:rPr>
        <w:lastRenderedPageBreak/>
        <w:t xml:space="preserve">entonces, se activa la intervención de un órgano garante  (IFAI) que asegure la protección de derecho en cuestión. Un esquema clásico: derechos, obligaciones y garantías. </w:t>
      </w:r>
    </w:p>
    <w:p w:rsidR="00627CAE" w:rsidRPr="00F7738C" w:rsidRDefault="00627CAE" w:rsidP="00F1759C">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627CAE" w:rsidRPr="00F7738C" w:rsidRDefault="00627CAE" w:rsidP="00F1759C">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constitucionalmente de manera expresa el carácter definitivo e inatacable de sus resoluciones. </w:t>
      </w:r>
    </w:p>
    <w:p w:rsidR="00627CAE" w:rsidRPr="00F7738C" w:rsidRDefault="00627CAE" w:rsidP="00627CAE">
      <w:pPr>
        <w:spacing w:before="240" w:after="0" w:line="360" w:lineRule="auto"/>
        <w:ind w:left="567"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Hasta este momento, nadie duda que ese es el efecto que la disposición constitucional y legal procura al determinar la definitividad de nuestras resoluciones en el caso de los Sujetos Obligados. Pero el caso que se resuelve en </w:t>
      </w:r>
      <w:r w:rsidRPr="0037358E">
        <w:rPr>
          <w:rFonts w:ascii="Palatino Linotype" w:hAnsi="Palatino Linotype" w:cs="Arial"/>
          <w:sz w:val="24"/>
          <w:szCs w:val="24"/>
        </w:rPr>
        <w:lastRenderedPageBreak/>
        <w:t>esta ocasión, nos obliga a considerar algunos elementos que demandan un especial análisis.</w:t>
      </w:r>
    </w:p>
    <w:p w:rsidR="00627CAE" w:rsidRPr="0037358E" w:rsidRDefault="00627CAE" w:rsidP="00627CAE">
      <w:pPr>
        <w:pStyle w:val="Prrafodelista"/>
        <w:spacing w:before="240" w:after="0" w:line="360" w:lineRule="auto"/>
        <w:ind w:left="0"/>
        <w:jc w:val="both"/>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lang w:val="es-ES"/>
        </w:rPr>
      </w:pPr>
      <w:bookmarkStart w:id="3" w:name="_Toc9867332"/>
      <w:r w:rsidRPr="00DC11A3">
        <w:rPr>
          <w:rFonts w:ascii="Palatino Linotype" w:hAnsi="Palatino Linotype"/>
          <w:b/>
          <w:color w:val="auto"/>
          <w:sz w:val="24"/>
          <w:lang w:val="es-ES"/>
        </w:rPr>
        <w:t>La naturaleza de los Sujetos Obligados.</w:t>
      </w:r>
      <w:bookmarkEnd w:id="3"/>
    </w:p>
    <w:p w:rsidR="00627CAE" w:rsidRPr="0037358E" w:rsidRDefault="00627CAE" w:rsidP="00627CAE">
      <w:pPr>
        <w:spacing w:line="276" w:lineRule="auto"/>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encuentran más cercanos que cualquier otro sujeto obligado, a la condición de entidad pública, por su naturaleza como entidades de interés público y porque sus actividades se financian mayoritariamente con recursos públicos.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Y junto con las instituciones públicas, se reconocieron como sujetos obligados a distintas personas: las físicas y las morales, entre ellas los sindicatos, siempre y cuando reciban y ejerzan recursos públicos o realicen actos de autoridad. Y es precisamente esta condición común, la naturaleza de personas, lo que nos provoca un problema de relevancia jurídica sobre el cual este Órgano Garante se encuentra obligado a pronunciarse. </w:t>
      </w:r>
    </w:p>
    <w:p w:rsidR="00627CAE" w:rsidRPr="0037358E" w:rsidRDefault="00627CAE" w:rsidP="00627CAE">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i/>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Se tiene que persona </w:t>
      </w:r>
      <w:r w:rsidRPr="0037358E">
        <w:rPr>
          <w:rFonts w:ascii="Palatino Linotype" w:hAnsi="Palatino Linotype" w:cs="Arial"/>
          <w:i/>
          <w:color w:val="000000" w:themeColor="text1"/>
          <w:sz w:val="24"/>
          <w:szCs w:val="24"/>
          <w:lang w:val="es-ES"/>
        </w:rPr>
        <w:t>es “ 1. f. Individuo de la especie humana. 2. f. Hombre o mujer cuyo nombre se ignora o se omite….”</w:t>
      </w:r>
      <w:r w:rsidRPr="0037358E">
        <w:rPr>
          <w:rFonts w:ascii="Palatino Linotype" w:hAnsi="Palatino Linotype" w:cs="Arial"/>
          <w:color w:val="000000" w:themeColor="text1"/>
          <w:sz w:val="24"/>
          <w:szCs w:val="24"/>
          <w:lang w:val="es-ES"/>
        </w:rPr>
        <w:t xml:space="preserve"> mientras que por persona jurídica se ha señalado que deberá entenderse como la  </w:t>
      </w:r>
      <w:r w:rsidRPr="0037358E">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37358E">
        <w:rPr>
          <w:rFonts w:ascii="Palatino Linotype" w:hAnsi="Palatino Linotype" w:cs="Arial"/>
          <w:color w:val="000000" w:themeColor="text1"/>
          <w:sz w:val="24"/>
          <w:szCs w:val="24"/>
          <w:lang w:val="es-ES"/>
        </w:rPr>
        <w:t xml:space="preserve">  Frente a estas dos figuras se tiene al ente público o autoridad, que se traduce en el “</w:t>
      </w:r>
      <w:r w:rsidRPr="0037358E">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 diferencia de las instituciones públicas, las personas, según el mandato expreso del artículo primero de la Constitución General de la República, gozan de los derechos humanos reconocidos en la Constitución y en los tratados internacionales de los que el Estado Mexicano sea parte.</w:t>
      </w:r>
    </w:p>
    <w:p w:rsidR="00FE31E6" w:rsidRPr="00FE31E6" w:rsidRDefault="00FE31E6" w:rsidP="00FE31E6">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627CAE" w:rsidRPr="0037358E" w:rsidRDefault="00627CAE" w:rsidP="00627CAE">
      <w:pPr>
        <w:pStyle w:val="Prrafodelista"/>
        <w:spacing w:before="240" w:after="0" w:line="360" w:lineRule="auto"/>
        <w:jc w:val="both"/>
        <w:rPr>
          <w:rFonts w:ascii="Palatino Linotype" w:hAnsi="Palatino Linotype" w:cs="Arial"/>
          <w:color w:val="000000" w:themeColor="text1"/>
          <w:sz w:val="24"/>
          <w:szCs w:val="24"/>
          <w:lang w:val="es-ES"/>
        </w:rPr>
      </w:pPr>
    </w:p>
    <w:p w:rsidR="00627CAE" w:rsidRPr="00B67CCF" w:rsidRDefault="00627CAE" w:rsidP="00627CAE">
      <w:pPr>
        <w:pStyle w:val="Prrafodelista"/>
        <w:spacing w:before="240" w:after="0" w:line="360" w:lineRule="auto"/>
        <w:ind w:left="567"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 xml:space="preserve">PRINCIPIO DE INTERPRETACIÓN MÁS FAVORABLE A LA PERSONA. ES APLICABLE RESPECTO DE LAS NORMAS RELATIVAS A LOS DERECHOS </w:t>
      </w:r>
      <w:r w:rsidRPr="00B67CCF">
        <w:rPr>
          <w:rFonts w:ascii="Palatino Linotype" w:hAnsi="Palatino Linotype" w:cs="Arial"/>
          <w:i/>
          <w:color w:val="000000" w:themeColor="text1"/>
          <w:szCs w:val="24"/>
          <w:lang w:val="es-ES"/>
        </w:rPr>
        <w:lastRenderedPageBreak/>
        <w:t xml:space="preserve">HUMANOS DE LOS QUE SEAN TITULARES LAS PERSONAS MORALES.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contenido material sólo pueda ser disfrutado por las personas físicas, lo que habrá de determinarse en cada caso concreto (énfasis añadido). </w:t>
      </w:r>
    </w:p>
    <w:p w:rsidR="00627CAE" w:rsidRPr="00B67CCF"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627CAE" w:rsidRPr="0037358E" w:rsidRDefault="00627CAE" w:rsidP="00627CAE">
      <w:pPr>
        <w:pStyle w:val="Prrafodelista"/>
        <w:spacing w:before="240" w:after="0" w:line="360" w:lineRule="auto"/>
        <w:ind w:right="333"/>
        <w:jc w:val="both"/>
        <w:rPr>
          <w:rFonts w:ascii="Palatino Linotype" w:hAnsi="Palatino Linotype" w:cs="Arial"/>
          <w:color w:val="000000" w:themeColor="text1"/>
          <w:sz w:val="24"/>
          <w:szCs w:val="24"/>
          <w:lang w:val="es-ES"/>
        </w:rPr>
      </w:pP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lastRenderedPageBreak/>
        <w:t xml:space="preserve">PERSONAS MORALES. SON SUSCEPTIBLES DE LA PROTECCIÓN DE LOS DERECHOS HUMANOS, AL ESTAR INTEGRADAS POR PERSONAS FÍSICAS Y POR TENER EL CARÁCTER DE PARTE EN EL JUICIO DE AMPARO. De acuerdo con la interpretación convencional, podría considerarse que la titularidad de los derechos humanos únicamente corresponde a las personas físicas; sin embargo, la realidad jurídica evidencia que </w:t>
      </w:r>
      <w:r w:rsidRPr="003416F2">
        <w:rPr>
          <w:rFonts w:ascii="Palatino Linotype" w:hAnsi="Palatino Linotype" w:cs="Arial"/>
          <w:b/>
          <w:i/>
          <w:color w:val="000000" w:themeColor="text1"/>
          <w:szCs w:val="24"/>
          <w:lang w:val="es-ES"/>
        </w:rPr>
        <w:t>las personas morales o jurídicas también los adquieren, y son susceptibles de protección,</w:t>
      </w:r>
      <w:r w:rsidRPr="003416F2">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3416F2">
        <w:rPr>
          <w:rFonts w:ascii="Palatino Linotype" w:hAnsi="Palatino Linotype" w:cs="Arial"/>
          <w:b/>
          <w:i/>
          <w:color w:val="000000" w:themeColor="text1"/>
          <w:szCs w:val="24"/>
          <w:lang w:val="es-ES"/>
        </w:rPr>
        <w:t>entre los que destacan</w:t>
      </w:r>
      <w:r w:rsidRPr="003416F2">
        <w:rPr>
          <w:rFonts w:ascii="Palatino Linotype" w:hAnsi="Palatino Linotype" w:cs="Arial"/>
          <w:i/>
          <w:color w:val="000000" w:themeColor="text1"/>
          <w:szCs w:val="24"/>
          <w:lang w:val="es-ES"/>
        </w:rPr>
        <w:t xml:space="preserve"> los de propiedad, posesión, credo religioso, personalidad, </w:t>
      </w:r>
      <w:r w:rsidRPr="003416F2">
        <w:rPr>
          <w:rFonts w:ascii="Palatino Linotype" w:hAnsi="Palatino Linotype" w:cs="Arial"/>
          <w:b/>
          <w:i/>
          <w:color w:val="000000" w:themeColor="text1"/>
          <w:szCs w:val="24"/>
          <w:lang w:val="es-ES"/>
        </w:rPr>
        <w:t>acceso a la justicia,</w:t>
      </w:r>
      <w:r w:rsidRPr="003416F2">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Distinto es el caso de las instituciones públicas, las que para que puedan acudir ante otra autoridad para ejercitar algún procedimiento ordinario de defensa procurando la protección de sus intereses o de los bienes jurídicos que protegen, </w:t>
      </w:r>
      <w:r w:rsidRPr="0037358E">
        <w:rPr>
          <w:rFonts w:ascii="Palatino Linotype" w:hAnsi="Palatino Linotype" w:cs="Arial"/>
          <w:color w:val="000000" w:themeColor="text1"/>
          <w:sz w:val="24"/>
          <w:szCs w:val="24"/>
          <w:lang w:val="es-ES"/>
        </w:rPr>
        <w:lastRenderedPageBreak/>
        <w:t xml:space="preserve">se requiere que el principio de reserva de ley se actualice en alguna disposición legal que le otorgue personalidad para ejercitarlo. </w:t>
      </w:r>
    </w:p>
    <w:p w:rsidR="00FE31E6" w:rsidRPr="0037358E" w:rsidRDefault="00FE31E6" w:rsidP="00FE31E6">
      <w:pPr>
        <w:pStyle w:val="Prrafodelista"/>
        <w:spacing w:before="240" w:after="0" w:line="360" w:lineRule="auto"/>
        <w:ind w:left="426"/>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Esa disposición resulta totalmente coherente con</w:t>
      </w:r>
      <w:r w:rsidRPr="0037358E">
        <w:rPr>
          <w:rFonts w:ascii="Palatino Linotype" w:hAnsi="Palatino Linotype"/>
          <w:sz w:val="24"/>
          <w:szCs w:val="24"/>
          <w:lang w:val="es-ES_tradnl" w:eastAsia="es-ES_tradnl"/>
        </w:rPr>
        <w:t xml:space="preserve"> </w:t>
      </w:r>
      <w:r w:rsidRPr="0037358E">
        <w:rPr>
          <w:rFonts w:ascii="Palatino Linotype" w:hAnsi="Palatino Linotype" w:cs="Arial"/>
          <w:color w:val="000000" w:themeColor="text1"/>
          <w:sz w:val="24"/>
          <w:szCs w:val="24"/>
          <w:lang w:val="es-ES"/>
        </w:rPr>
        <w:t>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públicas” con la habilitación restringida considerada en la Ley de Amparo y que excluye a la materia cuya tutela se nos ha conferido.</w:t>
      </w:r>
    </w:p>
    <w:p w:rsidR="00627CAE" w:rsidRPr="0037358E" w:rsidRDefault="00627CAE" w:rsidP="00627CAE">
      <w:pPr>
        <w:pStyle w:val="Prrafodelista"/>
        <w:spacing w:before="240" w:after="0" w:line="360" w:lineRule="auto"/>
        <w:ind w:left="0"/>
        <w:jc w:val="both"/>
        <w:rPr>
          <w:rFonts w:ascii="Palatino Linotype" w:hAnsi="Palatino Linotype"/>
          <w:sz w:val="24"/>
          <w:szCs w:val="24"/>
          <w:lang w:val="es-ES_tradnl" w:eastAsia="es-ES_tradnl"/>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órgano garante incumpliría el mandato impuesto por el párrafo tercero del artículo primero constitucional que establece la obligación a todas las autoridades de promover, respetar, proteger y garantizar los derechos humanos.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125FD4"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Así que frente a esta antinomia jurídica, el órgano garante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Humanos en el Caso Castañeda Gutman contra Estados Unidos Mexicanos en sus párrafos 100 y 101 que señalan:</w:t>
      </w:r>
    </w:p>
    <w:p w:rsidR="00125FD4" w:rsidRDefault="00125FD4" w:rsidP="00125FD4">
      <w:pPr>
        <w:pStyle w:val="Prrafodelista"/>
        <w:spacing w:before="240" w:after="0" w:line="360" w:lineRule="auto"/>
        <w:ind w:left="426"/>
        <w:jc w:val="both"/>
        <w:rPr>
          <w:rFonts w:ascii="Palatino Linotype" w:hAnsi="Palatino Linotype" w:cs="Arial"/>
          <w:color w:val="000000" w:themeColor="text1"/>
          <w:sz w:val="24"/>
          <w:szCs w:val="24"/>
          <w:lang w:val="es-ES"/>
        </w:rPr>
      </w:pPr>
    </w:p>
    <w:p w:rsidR="00125FD4" w:rsidRPr="00F1759C" w:rsidRDefault="00125FD4" w:rsidP="00125FD4">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F1759C">
        <w:rPr>
          <w:rFonts w:ascii="Palatino Linotype" w:hAnsi="Palatino Linotype" w:cs="Arial"/>
          <w:i/>
          <w:color w:val="000000" w:themeColor="text1"/>
          <w:sz w:val="24"/>
          <w:szCs w:val="24"/>
          <w:lang w:val="es-ES"/>
        </w:rPr>
        <w:t xml:space="preserve">100. Este Tribunal considera que el sentido de la protección otorgada por el artículo 25 de la Convención es la posibilidad real de acceder a un recurso judicial para que la autoridad competente y capaz de emitir una decisión vinculante determine si ha habido o no una violación a algún derecho que la persona que reclama estima tener y que, en caso de ser encontrada una violación, el recurso sea útil para restituir al interesado en el goce de su derecho y repararlo. Sería </w:t>
      </w:r>
      <w:r w:rsidRPr="00F1759C">
        <w:rPr>
          <w:rFonts w:ascii="Palatino Linotype" w:hAnsi="Palatino Linotype" w:cs="Arial"/>
          <w:i/>
          <w:color w:val="000000" w:themeColor="text1"/>
          <w:sz w:val="24"/>
          <w:szCs w:val="24"/>
          <w:lang w:val="es-ES"/>
        </w:rPr>
        <w:lastRenderedPageBreak/>
        <w:t xml:space="preserve">irrazonable establecer dicha garantía judicial si se exigiera a los justiciables saber de antemano si su situación será estimada por el órgano judicial como amparada por un derecho específico. </w:t>
      </w:r>
    </w:p>
    <w:p w:rsidR="00125FD4" w:rsidRPr="00F1759C" w:rsidRDefault="00125FD4" w:rsidP="00125FD4">
      <w:pPr>
        <w:pStyle w:val="Prrafodelista"/>
        <w:spacing w:before="240" w:after="0" w:line="360" w:lineRule="auto"/>
        <w:ind w:right="333"/>
        <w:jc w:val="both"/>
        <w:rPr>
          <w:rFonts w:ascii="Palatino Linotype" w:hAnsi="Palatino Linotype" w:cs="Arial"/>
          <w:i/>
          <w:color w:val="000000" w:themeColor="text1"/>
          <w:sz w:val="24"/>
          <w:szCs w:val="24"/>
          <w:lang w:val="es-ES"/>
        </w:rPr>
      </w:pPr>
    </w:p>
    <w:p w:rsidR="00125FD4" w:rsidRPr="00F1759C" w:rsidRDefault="00125FD4" w:rsidP="00125FD4">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F1759C">
        <w:rPr>
          <w:rFonts w:ascii="Palatino Linotype" w:hAnsi="Palatino Linotype" w:cs="Arial"/>
          <w:i/>
          <w:color w:val="000000" w:themeColor="text1"/>
          <w:sz w:val="24"/>
          <w:szCs w:val="24"/>
          <w:lang w:val="es-ES"/>
        </w:rPr>
        <w:t>101. En razón de lo anterior, independientemente de si la autoridad judicial declarare infundado el reclamo de la persona que interpone el recurso por no estar cubierto por la norma que invoca o no encontrare una violación del derecho que se alega vulnerado, el Estado está obligado a proveer recursos efectivos que permitan a las personas impugnar aquellos actos de autoridad que consideren violatorios de sus derechos humanos previstos en la Convención, la Constitución o las leyes. En efecto, el artículo 25 de la Convención Americana establece el derecho a la protección judicial de los derechos consagrados por la Convención, la Constitución o las leyes, el cual puede ser violado independientemente de que exista o no una violación al derecho reclamado o de que la situación que le servía de sustento se encontraba dentro del campo de aplicación del derecho invocado. Ello debido a que al igual que el artículo 8, “el artículo 25 de la Convención también consagra el derecho de acceso a la justicia”.</w:t>
      </w:r>
      <w:r w:rsidRPr="00F1759C">
        <w:rPr>
          <w:rStyle w:val="Refdenotaalpie"/>
          <w:rFonts w:ascii="Palatino Linotype" w:hAnsi="Palatino Linotype" w:cs="Arial"/>
          <w:i/>
          <w:color w:val="000000" w:themeColor="text1"/>
          <w:sz w:val="24"/>
          <w:szCs w:val="24"/>
          <w:lang w:val="es-ES"/>
        </w:rPr>
        <w:footnoteReference w:id="4"/>
      </w:r>
    </w:p>
    <w:p w:rsidR="00125FD4" w:rsidRPr="00125FD4" w:rsidRDefault="00125FD4" w:rsidP="00125FD4">
      <w:pPr>
        <w:pStyle w:val="Prrafodelista"/>
        <w:rPr>
          <w:rFonts w:ascii="Palatino Linotype" w:hAnsi="Palatino Linotype" w:cs="Arial"/>
          <w:color w:val="000000" w:themeColor="text1"/>
          <w:sz w:val="24"/>
          <w:szCs w:val="24"/>
          <w:lang w:val="es-ES"/>
        </w:rPr>
      </w:pPr>
    </w:p>
    <w:p w:rsidR="00627CAE" w:rsidRPr="00F1759C"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125FD4">
        <w:rPr>
          <w:rFonts w:ascii="Palatino Linotype" w:hAnsi="Palatino Linotype" w:cs="Arial"/>
          <w:color w:val="000000" w:themeColor="text1"/>
          <w:sz w:val="24"/>
          <w:szCs w:val="24"/>
          <w:lang w:val="es-ES"/>
        </w:rPr>
        <w:t xml:space="preserve">En este sentido  se ha considerado que: </w:t>
      </w:r>
      <w:r w:rsidRPr="00125FD4">
        <w:rPr>
          <w:rFonts w:ascii="Palatino Linotype" w:hAnsi="Palatino Linotype" w:cs="Arial"/>
          <w:i/>
          <w:color w:val="000000" w:themeColor="text1"/>
          <w:sz w:val="24"/>
          <w:szCs w:val="24"/>
          <w:lang w:val="es-ES"/>
        </w:rPr>
        <w:t xml:space="preserve">“Con la redacción constitucional queda claro que las entidades públicas, incluidos los partidos políticos que son entidades de interés público, no cuentan con recurso alguno para impugnar las resoluciones del IFAI. En </w:t>
      </w:r>
      <w:r w:rsidRPr="00125FD4">
        <w:rPr>
          <w:rFonts w:ascii="Palatino Linotype" w:hAnsi="Palatino Linotype" w:cs="Arial"/>
          <w:i/>
          <w:color w:val="000000" w:themeColor="text1"/>
          <w:sz w:val="24"/>
          <w:szCs w:val="24"/>
          <w:lang w:val="es-ES"/>
        </w:rPr>
        <w:lastRenderedPageBreak/>
        <w:t>todos estos casos se trata de instituciones que tienen competencias, obligaciones, facultades, pero no son titulares de derechos fundamentales. Reproduzco uno de ellos contenido en el artículo 17 constitucional: “toda persona tiene derecho a que s ele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definitividad e inatacabilidad de las resoluciones del IFAI cuando los sujetos obligados, son personas físicas o morales.”</w:t>
      </w:r>
      <w:r>
        <w:rPr>
          <w:rStyle w:val="Refdenotaalpie"/>
          <w:rFonts w:ascii="Palatino Linotype" w:hAnsi="Palatino Linotype" w:cs="Arial"/>
          <w:i/>
          <w:color w:val="000000" w:themeColor="text1"/>
          <w:sz w:val="24"/>
          <w:szCs w:val="24"/>
          <w:lang w:val="es-ES"/>
        </w:rPr>
        <w:footnoteReference w:id="5"/>
      </w:r>
    </w:p>
    <w:p w:rsidR="00F1759C" w:rsidRPr="00125FD4" w:rsidRDefault="00F1759C" w:rsidP="00F1759C">
      <w:pPr>
        <w:pStyle w:val="Prrafodelista"/>
        <w:spacing w:before="240" w:after="0" w:line="360" w:lineRule="auto"/>
        <w:ind w:left="426"/>
        <w:jc w:val="both"/>
        <w:rPr>
          <w:rFonts w:ascii="Palatino Linotype" w:hAnsi="Palatino Linotype" w:cs="Arial"/>
          <w:color w:val="000000" w:themeColor="text1"/>
          <w:sz w:val="24"/>
          <w:szCs w:val="24"/>
          <w:lang w:val="es-ES"/>
        </w:rPr>
      </w:pPr>
    </w:p>
    <w:p w:rsidR="00627CAE" w:rsidRPr="00DC11A3" w:rsidRDefault="00627CAE" w:rsidP="00DC11A3">
      <w:pPr>
        <w:pStyle w:val="Ttulo1"/>
        <w:numPr>
          <w:ilvl w:val="0"/>
          <w:numId w:val="16"/>
        </w:numPr>
        <w:rPr>
          <w:rFonts w:ascii="Palatino Linotype" w:hAnsi="Palatino Linotype"/>
          <w:b/>
          <w:color w:val="auto"/>
          <w:sz w:val="24"/>
          <w:lang w:val="es-ES"/>
        </w:rPr>
      </w:pPr>
      <w:bookmarkStart w:id="4" w:name="_Toc9867333"/>
      <w:r w:rsidRPr="00DC11A3">
        <w:rPr>
          <w:rFonts w:ascii="Palatino Linotype" w:hAnsi="Palatino Linotype"/>
          <w:b/>
          <w:color w:val="auto"/>
          <w:sz w:val="24"/>
          <w:lang w:val="es-ES"/>
        </w:rPr>
        <w:t>Problema y propuesta.</w:t>
      </w:r>
      <w:bookmarkEnd w:id="4"/>
    </w:p>
    <w:p w:rsidR="00627CAE" w:rsidRDefault="00627CAE" w:rsidP="00627CAE">
      <w:pPr>
        <w:spacing w:line="276" w:lineRule="auto"/>
        <w:jc w:val="both"/>
        <w:rPr>
          <w:rFonts w:ascii="Palatino Linotype" w:hAnsi="Palatino Linotype" w:cs="Arial"/>
          <w:b/>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Si bien la definitividad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 </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 xml:space="preserve"> Por lo que al restringirse –en nuestra propia resolución–, el derecho de acceso a la justicia </w:t>
      </w:r>
      <w:r w:rsidR="00E473FB">
        <w:rPr>
          <w:rFonts w:ascii="Palatino Linotype" w:hAnsi="Palatino Linotype" w:cs="Arial"/>
          <w:color w:val="000000" w:themeColor="text1"/>
          <w:sz w:val="24"/>
          <w:szCs w:val="24"/>
          <w:lang w:val="es-ES"/>
        </w:rPr>
        <w:t xml:space="preserve">a la </w:t>
      </w:r>
      <w:r w:rsidR="000052AD" w:rsidRPr="000052AD">
        <w:rPr>
          <w:rFonts w:ascii="Palatino Linotype" w:hAnsi="Palatino Linotype" w:cs="Arial"/>
          <w:b/>
          <w:sz w:val="24"/>
          <w:szCs w:val="24"/>
        </w:rPr>
        <w:t>Agrupación de Trabajadores al Servicio del Colegio de Estudios Científicos y Tecnológicos del Estado de México (ATASCECYTEM)</w:t>
      </w:r>
      <w:r w:rsidRPr="0037358E">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F1759C" w:rsidRPr="00F1759C" w:rsidRDefault="00F1759C" w:rsidP="00F1759C">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definitividad de nuestras resolución con el principio constitucional más importante en materia de derechos humanos.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En consecuencia, por lo que corresponde a las personas físicas y morales y a los sindicatos que reciban y ejerzan recursos públicos o realicen actos de autoridad, </w:t>
      </w:r>
      <w:r w:rsidRPr="0037358E">
        <w:rPr>
          <w:rFonts w:ascii="Palatino Linotype" w:hAnsi="Palatino Linotype" w:cs="Arial"/>
          <w:color w:val="000000" w:themeColor="text1"/>
          <w:sz w:val="24"/>
          <w:szCs w:val="24"/>
          <w:lang w:val="es-ES"/>
        </w:rPr>
        <w:lastRenderedPageBreak/>
        <w:t>estas personas, así como los recurrentes, pueden impugnar nuestras resoluciones a través del juicio de amparo.</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 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C3567A" w:rsidRPr="00A2377D" w:rsidRDefault="00C3567A" w:rsidP="00C3567A">
      <w:pPr>
        <w:pStyle w:val="Prrafodelista"/>
        <w:numPr>
          <w:ilvl w:val="0"/>
          <w:numId w:val="1"/>
        </w:numPr>
        <w:spacing w:before="240" w:after="0" w:line="360" w:lineRule="auto"/>
        <w:ind w:left="426"/>
        <w:jc w:val="both"/>
        <w:rPr>
          <w:rFonts w:ascii="Palatino Linotype" w:hAnsi="Palatino Linotype" w:cs="Arial"/>
          <w:b/>
          <w:sz w:val="24"/>
          <w:szCs w:val="24"/>
        </w:rPr>
      </w:pPr>
      <w:r w:rsidRPr="00A2377D">
        <w:rPr>
          <w:rFonts w:ascii="Palatino Linotype" w:hAnsi="Palatino Linotype" w:cs="Arial"/>
          <w:color w:val="000000" w:themeColor="text1"/>
          <w:sz w:val="24"/>
          <w:szCs w:val="24"/>
          <w:lang w:val="es-ES"/>
        </w:rPr>
        <w:lastRenderedPageBreak/>
        <w:t xml:space="preserve">Es así que la Ley Federal de protección de datos personales en posesión de los particulares </w:t>
      </w:r>
      <w:r w:rsidRPr="00A2377D">
        <w:rPr>
          <w:rFonts w:ascii="Palatino Linotype" w:hAnsi="Palatino Linotype" w:cs="Arial"/>
          <w:sz w:val="24"/>
          <w:szCs w:val="24"/>
        </w:rPr>
        <w:t>establece lo siguiente</w:t>
      </w:r>
      <w:r w:rsidRPr="00A2377D">
        <w:rPr>
          <w:rFonts w:ascii="Palatino Linotype" w:hAnsi="Palatino Linotype" w:cs="Arial"/>
          <w:b/>
          <w:sz w:val="24"/>
          <w:szCs w:val="24"/>
        </w:rPr>
        <w:t>:</w:t>
      </w:r>
    </w:p>
    <w:p w:rsidR="006A7929" w:rsidRPr="00A2377D" w:rsidRDefault="006A7929" w:rsidP="006A7929">
      <w:pPr>
        <w:pStyle w:val="Prrafodelista"/>
        <w:rPr>
          <w:rFonts w:ascii="Palatino Linotype" w:hAnsi="Palatino Linotype" w:cs="Arial"/>
          <w:b/>
          <w:sz w:val="24"/>
          <w:szCs w:val="24"/>
        </w:rPr>
      </w:pPr>
    </w:p>
    <w:p w:rsidR="00C3567A" w:rsidRPr="00A2377D" w:rsidRDefault="00C3567A" w:rsidP="00C3567A">
      <w:pPr>
        <w:pStyle w:val="Prrafodelista"/>
        <w:spacing w:after="0" w:line="360" w:lineRule="auto"/>
        <w:ind w:right="616"/>
        <w:jc w:val="both"/>
        <w:rPr>
          <w:rFonts w:ascii="Palatino Linotype" w:eastAsia="Times New Roman" w:hAnsi="Palatino Linotype" w:cs="Times New Roman"/>
          <w:i/>
          <w:sz w:val="32"/>
          <w:szCs w:val="24"/>
          <w:lang w:eastAsia="es-MX"/>
        </w:rPr>
      </w:pPr>
      <w:r w:rsidRPr="00A2377D">
        <w:rPr>
          <w:rFonts w:ascii="Palatino Linotype" w:eastAsia="Times New Roman" w:hAnsi="Palatino Linotype" w:cs="Arial"/>
          <w:i/>
          <w:color w:val="222222"/>
          <w:szCs w:val="19"/>
          <w:shd w:val="clear" w:color="auto" w:fill="FFFFFF"/>
          <w:lang w:eastAsia="es-MX"/>
        </w:rPr>
        <w:t>Artículo 56.- Contra las resoluciones del Instituto, los particulares podrán promover el juicio de nulidad ante el Tribunal Federal de Justicia Fiscal y Administrativa. </w:t>
      </w:r>
    </w:p>
    <w:p w:rsidR="00C3567A" w:rsidRPr="00A2377D"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C3567A" w:rsidRPr="00A2377D"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r w:rsidRPr="00A2377D">
        <w:rPr>
          <w:rFonts w:ascii="Palatino Linotype" w:eastAsia="Times New Roman" w:hAnsi="Palatino Linotype" w:cs="Arial"/>
          <w:i/>
          <w:color w:val="222222"/>
          <w:szCs w:val="19"/>
          <w:lang w:eastAsia="es-MX"/>
        </w:rPr>
        <w:t>Artículo 57.- Todas las resoluciones del Instituto serán susceptibles de difundirse públicamente en versiones públicas, eliminando aquellas referencias al titular de los datos que lo identifiquen o lo hagan identificable. </w:t>
      </w:r>
    </w:p>
    <w:p w:rsidR="00C3567A" w:rsidRPr="00A2377D"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C3567A" w:rsidRDefault="00C3567A"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r w:rsidRPr="00A2377D">
        <w:rPr>
          <w:rFonts w:ascii="Palatino Linotype" w:eastAsia="Times New Roman" w:hAnsi="Palatino Linotype" w:cs="Arial"/>
          <w:i/>
          <w:color w:val="222222"/>
          <w:szCs w:val="19"/>
          <w:lang w:eastAsia="es-MX"/>
        </w:rPr>
        <w:t>Artículo 58.- 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p>
    <w:p w:rsidR="000052AD" w:rsidRPr="00A2377D" w:rsidRDefault="000052AD" w:rsidP="00C3567A">
      <w:pPr>
        <w:pStyle w:val="Prrafodelista"/>
        <w:shd w:val="clear" w:color="auto" w:fill="FFFFFF"/>
        <w:spacing w:after="0" w:line="360" w:lineRule="auto"/>
        <w:ind w:right="616"/>
        <w:jc w:val="both"/>
        <w:rPr>
          <w:rFonts w:ascii="Palatino Linotype" w:eastAsia="Times New Roman" w:hAnsi="Palatino Linotype" w:cs="Arial"/>
          <w:i/>
          <w:color w:val="222222"/>
          <w:szCs w:val="19"/>
          <w:lang w:eastAsia="es-MX"/>
        </w:rPr>
      </w:pPr>
    </w:p>
    <w:p w:rsidR="00C3567A" w:rsidRPr="00A2377D" w:rsidRDefault="00C3567A" w:rsidP="00C3567A">
      <w:pPr>
        <w:pStyle w:val="Prrafodelista"/>
        <w:numPr>
          <w:ilvl w:val="0"/>
          <w:numId w:val="1"/>
        </w:numPr>
        <w:spacing w:before="240" w:after="0" w:line="360" w:lineRule="auto"/>
        <w:ind w:left="426"/>
        <w:jc w:val="both"/>
        <w:rPr>
          <w:rFonts w:ascii="Palatino Linotype" w:hAnsi="Palatino Linotype" w:cs="Arial"/>
          <w:sz w:val="24"/>
          <w:szCs w:val="24"/>
        </w:rPr>
      </w:pPr>
      <w:r w:rsidRPr="00A2377D">
        <w:rPr>
          <w:rFonts w:ascii="Palatino Linotype" w:hAnsi="Palatino Linotype" w:cs="Arial"/>
          <w:sz w:val="24"/>
          <w:szCs w:val="24"/>
        </w:rPr>
        <w:t xml:space="preserve">En ese sentido, se entiende que al igual que las personas físicas, </w:t>
      </w:r>
      <w:r w:rsidR="00FE31E6" w:rsidRPr="00A2377D">
        <w:rPr>
          <w:rFonts w:ascii="Palatino Linotype" w:hAnsi="Palatino Linotype" w:cs="Arial"/>
          <w:sz w:val="24"/>
          <w:szCs w:val="24"/>
        </w:rPr>
        <w:t>las personas morales, tienen el derecho</w:t>
      </w:r>
      <w:r w:rsidRPr="00A2377D">
        <w:rPr>
          <w:rFonts w:ascii="Palatino Linotype" w:hAnsi="Palatino Linotype" w:cs="Arial"/>
          <w:sz w:val="24"/>
          <w:szCs w:val="24"/>
        </w:rPr>
        <w:t xml:space="preserve"> de interponer medios de impugnación cuando las resoluciones les causen al</w:t>
      </w:r>
      <w:r w:rsidR="004A0F46" w:rsidRPr="00A2377D">
        <w:rPr>
          <w:rFonts w:ascii="Palatino Linotype" w:hAnsi="Palatino Linotype" w:cs="Arial"/>
          <w:sz w:val="24"/>
          <w:szCs w:val="24"/>
        </w:rPr>
        <w:t xml:space="preserve">gún perjuicio, de lo contrario, como Instituto coartamos el derecho constitucional de acceso a la justicia de </w:t>
      </w:r>
      <w:r w:rsidRPr="00A2377D">
        <w:rPr>
          <w:rFonts w:ascii="Palatino Linotype" w:hAnsi="Palatino Linotype" w:cs="Arial"/>
          <w:sz w:val="24"/>
          <w:szCs w:val="24"/>
        </w:rPr>
        <w:t xml:space="preserve">dichas personas </w:t>
      </w:r>
      <w:r w:rsidR="004A0F46" w:rsidRPr="00A2377D">
        <w:rPr>
          <w:rFonts w:ascii="Palatino Linotype" w:hAnsi="Palatino Linotype" w:cs="Arial"/>
          <w:sz w:val="24"/>
          <w:szCs w:val="24"/>
        </w:rPr>
        <w:t>morales dejando en</w:t>
      </w:r>
      <w:r w:rsidRPr="00A2377D">
        <w:rPr>
          <w:rFonts w:ascii="Palatino Linotype" w:hAnsi="Palatino Linotype" w:cs="Arial"/>
          <w:sz w:val="24"/>
          <w:szCs w:val="24"/>
        </w:rPr>
        <w:t xml:space="preserve"> un estado de vulnerabilidad </w:t>
      </w:r>
      <w:r w:rsidR="004A0F46" w:rsidRPr="00A2377D">
        <w:rPr>
          <w:rFonts w:ascii="Palatino Linotype" w:hAnsi="Palatino Linotype" w:cs="Arial"/>
          <w:sz w:val="24"/>
          <w:szCs w:val="24"/>
        </w:rPr>
        <w:t>en comparación a las personas físicas de las cuales señalamos en todas las resoluciones que cuando consideren que la misma les causa algún perjuicio podrán promover juicio de amparo, o en su caso recurso de inconformidad.</w:t>
      </w:r>
    </w:p>
    <w:p w:rsidR="00627CAE" w:rsidRDefault="00627CAE" w:rsidP="00DC11A3">
      <w:pPr>
        <w:pStyle w:val="Ttulo1"/>
        <w:numPr>
          <w:ilvl w:val="0"/>
          <w:numId w:val="16"/>
        </w:numPr>
        <w:rPr>
          <w:rFonts w:ascii="Palatino Linotype" w:hAnsi="Palatino Linotype"/>
          <w:b/>
          <w:color w:val="auto"/>
          <w:sz w:val="24"/>
          <w:lang w:val="es-ES"/>
        </w:rPr>
      </w:pPr>
      <w:bookmarkStart w:id="5" w:name="_Toc9867334"/>
      <w:r w:rsidRPr="00A2377D">
        <w:rPr>
          <w:rFonts w:ascii="Palatino Linotype" w:hAnsi="Palatino Linotype"/>
          <w:b/>
          <w:color w:val="auto"/>
          <w:sz w:val="24"/>
          <w:lang w:val="es-ES"/>
        </w:rPr>
        <w:lastRenderedPageBreak/>
        <w:t>Conclusión.</w:t>
      </w:r>
      <w:bookmarkEnd w:id="5"/>
    </w:p>
    <w:p w:rsidR="00F1759C" w:rsidRPr="00F1759C" w:rsidRDefault="00F1759C" w:rsidP="00F1759C">
      <w:pPr>
        <w:rPr>
          <w:lang w:val="es-ES"/>
        </w:rPr>
      </w:pPr>
    </w:p>
    <w:p w:rsidR="00627CAE" w:rsidRPr="00A2377D"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A2377D">
        <w:rPr>
          <w:rFonts w:ascii="Palatino Linotype" w:hAnsi="Palatino Linotype" w:cs="Arial"/>
          <w:color w:val="000000" w:themeColor="text1"/>
          <w:sz w:val="24"/>
          <w:szCs w:val="24"/>
          <w:lang w:val="es-ES"/>
        </w:rPr>
        <w:t xml:space="preserve"> En virtud de lo anterior</w:t>
      </w:r>
      <w:r w:rsidR="00B67CCF" w:rsidRPr="00A2377D">
        <w:rPr>
          <w:rFonts w:ascii="Palatino Linotype" w:hAnsi="Palatino Linotype" w:cs="Arial"/>
          <w:color w:val="000000" w:themeColor="text1"/>
          <w:sz w:val="24"/>
          <w:szCs w:val="24"/>
          <w:lang w:val="es-ES"/>
        </w:rPr>
        <w:t>,</w:t>
      </w:r>
      <w:r w:rsidRPr="00A2377D">
        <w:rPr>
          <w:rFonts w:ascii="Palatino Linotype" w:hAnsi="Palatino Linotype" w:cs="Arial"/>
          <w:color w:val="000000" w:themeColor="text1"/>
          <w:sz w:val="24"/>
          <w:szCs w:val="24"/>
          <w:lang w:val="es-ES"/>
        </w:rPr>
        <w:t xml:space="preserve"> es que no puedo compartir los términos aprobados del resolutivo Cuarto ya que, desde mi punto de vista, el Sindicato también tiene derecho de acudir al juicio de</w:t>
      </w:r>
      <w:r w:rsidR="003416F2" w:rsidRPr="00A2377D">
        <w:rPr>
          <w:rFonts w:ascii="Palatino Linotype" w:hAnsi="Palatino Linotype" w:cs="Arial"/>
          <w:color w:val="000000" w:themeColor="text1"/>
          <w:sz w:val="24"/>
          <w:szCs w:val="24"/>
          <w:lang w:val="es-ES"/>
        </w:rPr>
        <w:t xml:space="preserve"> amparo si considera que la res</w:t>
      </w:r>
      <w:r w:rsidR="00F1759C">
        <w:rPr>
          <w:rFonts w:ascii="Palatino Linotype" w:hAnsi="Palatino Linotype" w:cs="Arial"/>
          <w:color w:val="000000" w:themeColor="text1"/>
          <w:sz w:val="24"/>
          <w:szCs w:val="24"/>
          <w:lang w:val="es-ES"/>
        </w:rPr>
        <w:t>olución emitida por el Pleno de este</w:t>
      </w:r>
      <w:r w:rsidR="003416F2" w:rsidRPr="00A2377D">
        <w:rPr>
          <w:rFonts w:ascii="Palatino Linotype" w:hAnsi="Palatino Linotype" w:cs="Arial"/>
          <w:color w:val="000000" w:themeColor="text1"/>
          <w:sz w:val="24"/>
          <w:szCs w:val="24"/>
          <w:lang w:val="es-ES"/>
        </w:rPr>
        <w:t xml:space="preserve"> Instituto </w:t>
      </w:r>
      <w:r w:rsidRPr="00A2377D">
        <w:rPr>
          <w:rFonts w:ascii="Palatino Linotype" w:hAnsi="Palatino Linotype" w:cs="Arial"/>
          <w:color w:val="000000" w:themeColor="text1"/>
          <w:sz w:val="24"/>
          <w:szCs w:val="24"/>
          <w:lang w:val="es-ES"/>
        </w:rPr>
        <w:t>le causa algún agravio, en virtud de que se trata de una persona moral no pública y, en esa condición, tiene el derecho de acceso a la justicia, indisponible para el Órgano Garante.</w:t>
      </w:r>
      <w:r w:rsidRPr="00A2377D">
        <w:rPr>
          <w:rFonts w:ascii="Palatino Linotype" w:hAnsi="Palatino Linotype" w:cs="Arial"/>
          <w:sz w:val="24"/>
          <w:szCs w:val="24"/>
        </w:rPr>
        <w:t xml:space="preserve"> </w:t>
      </w:r>
    </w:p>
    <w:p w:rsidR="00627CAE" w:rsidRPr="0037358E" w:rsidRDefault="00627CAE" w:rsidP="00627CAE">
      <w:pPr>
        <w:pStyle w:val="Prrafodelista"/>
        <w:spacing w:before="240" w:after="0" w:line="360" w:lineRule="auto"/>
        <w:ind w:left="0"/>
        <w:jc w:val="both"/>
        <w:rPr>
          <w:rFonts w:ascii="Palatino Linotype" w:hAnsi="Palatino Linotype" w:cs="Arial"/>
          <w:sz w:val="24"/>
          <w:szCs w:val="24"/>
        </w:rPr>
      </w:pPr>
    </w:p>
    <w:p w:rsidR="00B67CCF" w:rsidRDefault="00B67CCF" w:rsidP="00627CAE">
      <w:pPr>
        <w:spacing w:line="360" w:lineRule="auto"/>
        <w:rPr>
          <w:rFonts w:ascii="Palatino Linotype" w:hAnsi="Palatino Linotype" w:cs="Arial"/>
          <w:sz w:val="24"/>
          <w:szCs w:val="24"/>
        </w:rPr>
      </w:pPr>
    </w:p>
    <w:p w:rsidR="006A7929" w:rsidRDefault="006A7929" w:rsidP="00627CAE">
      <w:pPr>
        <w:spacing w:line="360" w:lineRule="auto"/>
        <w:rPr>
          <w:rFonts w:ascii="Palatino Linotype" w:hAnsi="Palatino Linotype" w:cs="Arial"/>
          <w:sz w:val="24"/>
          <w:szCs w:val="24"/>
        </w:rPr>
      </w:pPr>
    </w:p>
    <w:p w:rsidR="00F1759C" w:rsidRDefault="00F1759C" w:rsidP="00627CAE">
      <w:pPr>
        <w:spacing w:line="360" w:lineRule="auto"/>
        <w:rPr>
          <w:rFonts w:ascii="Palatino Linotype" w:hAnsi="Palatino Linotype" w:cs="Arial"/>
          <w:sz w:val="24"/>
          <w:szCs w:val="24"/>
        </w:rPr>
      </w:pPr>
    </w:p>
    <w:p w:rsidR="00A2377D" w:rsidRDefault="00A2377D" w:rsidP="00627CAE">
      <w:pPr>
        <w:spacing w:line="360" w:lineRule="auto"/>
        <w:rPr>
          <w:rFonts w:ascii="Palatino Linotype" w:hAnsi="Palatino Linotype" w:cs="Arial"/>
          <w:sz w:val="24"/>
          <w:szCs w:val="24"/>
        </w:rPr>
      </w:pPr>
    </w:p>
    <w:p w:rsidR="00627CAE" w:rsidRPr="000C1EE1" w:rsidRDefault="00627CAE" w:rsidP="00627CAE">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627CAE" w:rsidRDefault="00627CAE" w:rsidP="00627CAE">
      <w:pPr>
        <w:spacing w:line="36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COMISIONADO</w:t>
      </w:r>
    </w:p>
    <w:p w:rsidR="00B67CCF" w:rsidRDefault="006A7929" w:rsidP="00627CAE">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(Rubrica)</w:t>
      </w:r>
    </w:p>
    <w:p w:rsidR="00B75AFA" w:rsidRDefault="00B67CCF" w:rsidP="00B67CCF">
      <w:pPr>
        <w:spacing w:line="360" w:lineRule="auto"/>
        <w:rPr>
          <w:rFonts w:ascii="Palatino Linotype" w:eastAsia="Calibri" w:hAnsi="Palatino Linotype" w:cs="Arial"/>
          <w:sz w:val="20"/>
          <w:szCs w:val="20"/>
        </w:rPr>
      </w:pPr>
      <w:r>
        <w:rPr>
          <w:rFonts w:ascii="Palatino Linotype" w:eastAsia="Calibri" w:hAnsi="Palatino Linotype" w:cs="Arial"/>
          <w:b/>
          <w:sz w:val="24"/>
          <w:szCs w:val="24"/>
        </w:rPr>
        <w:t>JGLH/ADM</w:t>
      </w:r>
    </w:p>
    <w:sectPr w:rsidR="00B75AFA"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570" w:rsidRDefault="00551570" w:rsidP="00E82D3D">
      <w:pPr>
        <w:spacing w:after="0" w:line="240" w:lineRule="auto"/>
      </w:pPr>
      <w:r>
        <w:separator/>
      </w:r>
    </w:p>
  </w:endnote>
  <w:endnote w:type="continuationSeparator" w:id="0">
    <w:p w:rsidR="00551570" w:rsidRDefault="0055157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5BF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5BFE">
              <w:rPr>
                <w:b/>
                <w:bCs/>
                <w:noProof/>
              </w:rPr>
              <w:t>18</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570" w:rsidRDefault="00551570" w:rsidP="00E82D3D">
      <w:pPr>
        <w:spacing w:after="0" w:line="240" w:lineRule="auto"/>
      </w:pPr>
      <w:r>
        <w:separator/>
      </w:r>
    </w:p>
  </w:footnote>
  <w:footnote w:type="continuationSeparator" w:id="0">
    <w:p w:rsidR="00551570" w:rsidRDefault="00551570" w:rsidP="00E82D3D">
      <w:pPr>
        <w:spacing w:after="0" w:line="240" w:lineRule="auto"/>
      </w:pPr>
      <w:r>
        <w:continuationSeparator/>
      </w:r>
    </w:p>
  </w:footnote>
  <w:footnote w:id="1">
    <w:p w:rsidR="00627CAE" w:rsidRPr="001D44BA" w:rsidRDefault="00627CAE" w:rsidP="00627CAE">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2">
    <w:p w:rsidR="00627CAE" w:rsidRDefault="00627CAE" w:rsidP="00627CAE">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627CAE" w:rsidRDefault="00627CAE" w:rsidP="00627CAE">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125FD4" w:rsidRPr="00236D89" w:rsidRDefault="00125FD4" w:rsidP="00125FD4">
      <w:pPr>
        <w:pStyle w:val="Textonotapie"/>
        <w:rPr>
          <w:lang w:val="es-ES"/>
        </w:rPr>
      </w:pPr>
      <w:r>
        <w:rPr>
          <w:rStyle w:val="Refdenotaalpie"/>
        </w:rPr>
        <w:footnoteRef/>
      </w:r>
      <w:r>
        <w:t xml:space="preserve"> </w:t>
      </w:r>
      <w:r>
        <w:rPr>
          <w:lang w:val="es-ES"/>
        </w:rPr>
        <w:t>Corte Interamericana de Derechos Humanos. Caso Castañega Gutman vs. México, sentencia de excepciones preliminares, fondo, reparaciones y costas, del 06 de agosto de 2008. Párrs.100 y 101.</w:t>
      </w:r>
    </w:p>
  </w:footnote>
  <w:footnote w:id="5">
    <w:p w:rsidR="00627CAE" w:rsidRDefault="00627CAE" w:rsidP="00627CAE">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5515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5515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55157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1"/>
  </w:num>
  <w:num w:numId="5">
    <w:abstractNumId w:val="10"/>
  </w:num>
  <w:num w:numId="6">
    <w:abstractNumId w:val="2"/>
  </w:num>
  <w:num w:numId="7">
    <w:abstractNumId w:val="14"/>
  </w:num>
  <w:num w:numId="8">
    <w:abstractNumId w:val="9"/>
  </w:num>
  <w:num w:numId="9">
    <w:abstractNumId w:val="13"/>
  </w:num>
  <w:num w:numId="10">
    <w:abstractNumId w:val="5"/>
  </w:num>
  <w:num w:numId="11">
    <w:abstractNumId w:val="12"/>
  </w:num>
  <w:num w:numId="12">
    <w:abstractNumId w:val="4"/>
  </w:num>
  <w:num w:numId="13">
    <w:abstractNumId w:val="0"/>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52AD"/>
    <w:rsid w:val="0009550C"/>
    <w:rsid w:val="00096CC2"/>
    <w:rsid w:val="000B5BFE"/>
    <w:rsid w:val="000C1EE1"/>
    <w:rsid w:val="000D6012"/>
    <w:rsid w:val="00101869"/>
    <w:rsid w:val="00102360"/>
    <w:rsid w:val="0010753A"/>
    <w:rsid w:val="00114E2B"/>
    <w:rsid w:val="001240A5"/>
    <w:rsid w:val="00125FD4"/>
    <w:rsid w:val="001369DC"/>
    <w:rsid w:val="001B19B4"/>
    <w:rsid w:val="001D64D3"/>
    <w:rsid w:val="001F7C80"/>
    <w:rsid w:val="002275B6"/>
    <w:rsid w:val="00232437"/>
    <w:rsid w:val="002E0BA4"/>
    <w:rsid w:val="002E3ED2"/>
    <w:rsid w:val="002F79FF"/>
    <w:rsid w:val="003258B6"/>
    <w:rsid w:val="003416F2"/>
    <w:rsid w:val="00365A30"/>
    <w:rsid w:val="00384DBA"/>
    <w:rsid w:val="003B5308"/>
    <w:rsid w:val="0048628E"/>
    <w:rsid w:val="004A0F46"/>
    <w:rsid w:val="004B6A69"/>
    <w:rsid w:val="00551570"/>
    <w:rsid w:val="005556CA"/>
    <w:rsid w:val="005F30BC"/>
    <w:rsid w:val="00617ACF"/>
    <w:rsid w:val="00627CAE"/>
    <w:rsid w:val="006A7929"/>
    <w:rsid w:val="006B54EE"/>
    <w:rsid w:val="006B6E4B"/>
    <w:rsid w:val="006F0A01"/>
    <w:rsid w:val="00797A31"/>
    <w:rsid w:val="007A2AA5"/>
    <w:rsid w:val="007C26F0"/>
    <w:rsid w:val="007D037D"/>
    <w:rsid w:val="007D6E4B"/>
    <w:rsid w:val="00807E40"/>
    <w:rsid w:val="0083750E"/>
    <w:rsid w:val="00861BB5"/>
    <w:rsid w:val="008A4C72"/>
    <w:rsid w:val="008B3418"/>
    <w:rsid w:val="008D11C5"/>
    <w:rsid w:val="008D2A41"/>
    <w:rsid w:val="009623E8"/>
    <w:rsid w:val="00980C62"/>
    <w:rsid w:val="009A2D39"/>
    <w:rsid w:val="009E14DE"/>
    <w:rsid w:val="00A16FEB"/>
    <w:rsid w:val="00A2377D"/>
    <w:rsid w:val="00A24423"/>
    <w:rsid w:val="00A727D5"/>
    <w:rsid w:val="00B066EB"/>
    <w:rsid w:val="00B46E35"/>
    <w:rsid w:val="00B57C0A"/>
    <w:rsid w:val="00B67CCF"/>
    <w:rsid w:val="00B75AFA"/>
    <w:rsid w:val="00B9285A"/>
    <w:rsid w:val="00B92C8E"/>
    <w:rsid w:val="00BB488C"/>
    <w:rsid w:val="00BC4F31"/>
    <w:rsid w:val="00BD04CD"/>
    <w:rsid w:val="00C11E49"/>
    <w:rsid w:val="00C3567A"/>
    <w:rsid w:val="00C65912"/>
    <w:rsid w:val="00C753D8"/>
    <w:rsid w:val="00C760CB"/>
    <w:rsid w:val="00C851A8"/>
    <w:rsid w:val="00CA2B8E"/>
    <w:rsid w:val="00CC7CC1"/>
    <w:rsid w:val="00CD46C3"/>
    <w:rsid w:val="00CD7A0C"/>
    <w:rsid w:val="00CF0462"/>
    <w:rsid w:val="00D704EE"/>
    <w:rsid w:val="00D84F48"/>
    <w:rsid w:val="00DC11A3"/>
    <w:rsid w:val="00DD14BB"/>
    <w:rsid w:val="00DE7A32"/>
    <w:rsid w:val="00E473FB"/>
    <w:rsid w:val="00E82D3D"/>
    <w:rsid w:val="00F1759C"/>
    <w:rsid w:val="00F30EE8"/>
    <w:rsid w:val="00F61295"/>
    <w:rsid w:val="00F7738C"/>
    <w:rsid w:val="00FC605B"/>
    <w:rsid w:val="00FE3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semiHidden/>
    <w:unhideWhenUsed/>
    <w:rsid w:val="00DC1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1F68D-DB9F-4874-A0A6-7818CF150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3672</Words>
  <Characters>20200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2017-10-09T21:41:00Z</cp:lastPrinted>
  <dcterms:created xsi:type="dcterms:W3CDTF">2019-05-30T18:10:00Z</dcterms:created>
  <dcterms:modified xsi:type="dcterms:W3CDTF">2019-05-30T18:10:00Z</dcterms:modified>
</cp:coreProperties>
</file>